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长沙市开福区东风路</w:t>
      </w:r>
      <w:r>
        <w:rPr>
          <w:rFonts w:hint="eastAsia" w:ascii="方正小标宋_GBK" w:hAnsi="方正小标宋_GBK" w:eastAsia="方正小标宋_GBK" w:cs="方正小标宋_GBK"/>
          <w:sz w:val="36"/>
          <w:szCs w:val="36"/>
        </w:rPr>
        <w:t>105</w:t>
      </w:r>
      <w:r>
        <w:rPr>
          <w:rFonts w:hint="eastAsia" w:ascii="方正小标宋_GBK" w:hAnsi="方正小标宋_GBK" w:eastAsia="方正小标宋_GBK" w:cs="方正小标宋_GBK"/>
          <w:sz w:val="36"/>
          <w:szCs w:val="36"/>
        </w:rPr>
        <w:t>号原交通银行一层门面</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7年租赁权拍卖文件</w:t>
      </w:r>
    </w:p>
    <w:p>
      <w:pPr>
        <w:pStyle w:val="2"/>
        <w:rPr>
          <w:rFonts w:hint="eastAsia" w:eastAsia="宋体"/>
          <w:lang w:val="en-US" w:eastAsia="zh-CN"/>
        </w:rPr>
      </w:pPr>
      <w:r>
        <w:rPr>
          <w:rFonts w:hint="eastAsia"/>
          <w:lang w:val="en-US" w:eastAsia="zh-CN"/>
        </w:rPr>
        <w:t xml:space="preserve"> </w:t>
      </w:r>
    </w:p>
    <w:p>
      <w:pPr>
        <w:pStyle w:val="10"/>
        <w:spacing w:before="0" w:beforeAutospacing="0" w:after="0" w:afterAutospacing="0" w:line="460" w:lineRule="exact"/>
        <w:ind w:firstLine="64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根据有关法律、法规的规定，决定以网上公开出租1宗国有资产，现将有关事项公告如下：</w:t>
      </w:r>
    </w:p>
    <w:p>
      <w:pPr>
        <w:pStyle w:val="10"/>
        <w:spacing w:before="0" w:beforeAutospacing="0" w:after="0" w:afterAutospacing="0" w:line="460" w:lineRule="exact"/>
        <w:ind w:firstLine="64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一、网上公开出租国有资产的基本情况</w:t>
      </w:r>
    </w:p>
    <w:tbl>
      <w:tblPr>
        <w:tblStyle w:val="11"/>
        <w:tblW w:w="4997" w:type="pct"/>
        <w:jc w:val="center"/>
        <w:tblLayout w:type="autofit"/>
        <w:tblCellMar>
          <w:top w:w="0" w:type="dxa"/>
          <w:left w:w="0" w:type="dxa"/>
          <w:bottom w:w="0" w:type="dxa"/>
          <w:right w:w="0" w:type="dxa"/>
        </w:tblCellMar>
      </w:tblPr>
      <w:tblGrid>
        <w:gridCol w:w="678"/>
        <w:gridCol w:w="1710"/>
        <w:gridCol w:w="1174"/>
        <w:gridCol w:w="1968"/>
        <w:gridCol w:w="948"/>
        <w:gridCol w:w="879"/>
        <w:gridCol w:w="1232"/>
        <w:gridCol w:w="739"/>
      </w:tblGrid>
      <w:tr>
        <w:tblPrEx>
          <w:tblCellMar>
            <w:top w:w="0" w:type="dxa"/>
            <w:left w:w="0" w:type="dxa"/>
            <w:bottom w:w="0" w:type="dxa"/>
            <w:right w:w="0" w:type="dxa"/>
          </w:tblCellMar>
        </w:tblPrEx>
        <w:trPr>
          <w:trHeight w:val="670" w:hRule="atLeast"/>
          <w:jc w:val="center"/>
        </w:trPr>
        <w:tc>
          <w:tcPr>
            <w:tcW w:w="363" w:type="pct"/>
            <w:tcBorders>
              <w:top w:val="single" w:color="515A6E" w:sz="6" w:space="0"/>
              <w:left w:val="single" w:color="515A6E" w:sz="6" w:space="0"/>
              <w:bottom w:val="single" w:color="515A6E" w:sz="6" w:space="0"/>
              <w:right w:val="single" w:color="515A6E" w:sz="6" w:space="0"/>
            </w:tcBorders>
            <w:tcMar>
              <w:top w:w="75" w:type="dxa"/>
              <w:left w:w="75" w:type="dxa"/>
              <w:bottom w:w="75" w:type="dxa"/>
              <w:right w:w="75" w:type="dxa"/>
            </w:tcMar>
            <w:vAlign w:val="center"/>
          </w:tcPr>
          <w:p>
            <w:pPr>
              <w:spacing w:after="150" w:line="240" w:lineRule="exact"/>
              <w:jc w:val="center"/>
              <w:rPr>
                <w:rFonts w:ascii="仿宋_GB2312" w:hAnsi="仿宋_GB2312" w:eastAsia="仿宋_GB2312" w:cs="仿宋_GB2312"/>
                <w:spacing w:val="-11"/>
                <w:sz w:val="24"/>
              </w:rPr>
            </w:pPr>
            <w:r>
              <w:rPr>
                <w:rFonts w:hint="eastAsia" w:ascii="仿宋_GB2312" w:hAnsi="仿宋_GB2312" w:eastAsia="仿宋_GB2312" w:cs="仿宋_GB2312"/>
                <w:spacing w:val="-11"/>
                <w:sz w:val="24"/>
              </w:rPr>
              <w:t>序号</w:t>
            </w:r>
          </w:p>
        </w:tc>
        <w:tc>
          <w:tcPr>
            <w:tcW w:w="916" w:type="pct"/>
            <w:tcBorders>
              <w:top w:val="single" w:color="515A6E" w:sz="6" w:space="0"/>
              <w:left w:val="single" w:color="515A6E" w:sz="6" w:space="0"/>
              <w:bottom w:val="single" w:color="515A6E" w:sz="6" w:space="0"/>
              <w:right w:val="single" w:color="515A6E" w:sz="6" w:space="0"/>
            </w:tcBorders>
            <w:tcMar>
              <w:top w:w="75" w:type="dxa"/>
              <w:left w:w="75" w:type="dxa"/>
              <w:bottom w:w="75" w:type="dxa"/>
              <w:right w:w="75" w:type="dxa"/>
            </w:tcMar>
            <w:vAlign w:val="center"/>
          </w:tcPr>
          <w:p>
            <w:pPr>
              <w:spacing w:after="150" w:line="240" w:lineRule="exact"/>
              <w:jc w:val="center"/>
              <w:rPr>
                <w:rFonts w:ascii="仿宋_GB2312" w:hAnsi="仿宋_GB2312" w:eastAsia="仿宋_GB2312" w:cs="仿宋_GB2312"/>
                <w:spacing w:val="-11"/>
                <w:sz w:val="24"/>
              </w:rPr>
            </w:pPr>
            <w:r>
              <w:rPr>
                <w:rFonts w:hint="eastAsia" w:ascii="仿宋_GB2312" w:hAnsi="仿宋_GB2312" w:eastAsia="仿宋_GB2312" w:cs="仿宋_GB2312"/>
                <w:spacing w:val="-11"/>
                <w:sz w:val="24"/>
              </w:rPr>
              <w:t>标的名称</w:t>
            </w:r>
          </w:p>
        </w:tc>
        <w:tc>
          <w:tcPr>
            <w:tcW w:w="629" w:type="pct"/>
            <w:tcBorders>
              <w:top w:val="single" w:color="515A6E" w:sz="6" w:space="0"/>
              <w:left w:val="single" w:color="515A6E" w:sz="6" w:space="0"/>
              <w:bottom w:val="single" w:color="515A6E" w:sz="6" w:space="0"/>
              <w:right w:val="single" w:color="515A6E" w:sz="6" w:space="0"/>
            </w:tcBorders>
            <w:tcMar>
              <w:top w:w="75" w:type="dxa"/>
              <w:left w:w="75" w:type="dxa"/>
              <w:bottom w:w="75" w:type="dxa"/>
              <w:right w:w="75" w:type="dxa"/>
            </w:tcMar>
            <w:vAlign w:val="center"/>
          </w:tcPr>
          <w:p>
            <w:pPr>
              <w:spacing w:after="150" w:line="240" w:lineRule="exact"/>
              <w:jc w:val="center"/>
              <w:rPr>
                <w:rFonts w:ascii="仿宋_GB2312" w:hAnsi="仿宋_GB2312" w:eastAsia="仿宋_GB2312" w:cs="仿宋_GB2312"/>
                <w:spacing w:val="-11"/>
                <w:sz w:val="24"/>
              </w:rPr>
            </w:pPr>
            <w:r>
              <w:rPr>
                <w:rFonts w:hint="eastAsia" w:ascii="仿宋_GB2312" w:hAnsi="仿宋_GB2312" w:eastAsia="仿宋_GB2312" w:cs="仿宋_GB2312"/>
                <w:spacing w:val="-11"/>
                <w:sz w:val="24"/>
              </w:rPr>
              <w:t>交易编号</w:t>
            </w:r>
          </w:p>
        </w:tc>
        <w:tc>
          <w:tcPr>
            <w:tcW w:w="1054" w:type="pct"/>
            <w:tcBorders>
              <w:top w:val="single" w:color="515A6E" w:sz="6" w:space="0"/>
              <w:left w:val="single" w:color="515A6E" w:sz="6" w:space="0"/>
              <w:bottom w:val="single" w:color="515A6E" w:sz="6" w:space="0"/>
              <w:right w:val="single" w:color="515A6E" w:sz="6" w:space="0"/>
            </w:tcBorders>
            <w:tcMar>
              <w:top w:w="75" w:type="dxa"/>
              <w:left w:w="75" w:type="dxa"/>
              <w:bottom w:w="75" w:type="dxa"/>
              <w:right w:w="75" w:type="dxa"/>
            </w:tcMar>
            <w:vAlign w:val="center"/>
          </w:tcPr>
          <w:p>
            <w:pPr>
              <w:spacing w:after="150" w:line="240" w:lineRule="exact"/>
              <w:jc w:val="center"/>
              <w:rPr>
                <w:rFonts w:ascii="仿宋_GB2312" w:hAnsi="仿宋_GB2312" w:eastAsia="仿宋_GB2312" w:cs="仿宋_GB2312"/>
                <w:spacing w:val="-11"/>
                <w:sz w:val="24"/>
              </w:rPr>
            </w:pPr>
            <w:r>
              <w:rPr>
                <w:rFonts w:hint="eastAsia" w:ascii="仿宋_GB2312" w:hAnsi="仿宋_GB2312" w:eastAsia="仿宋_GB2312" w:cs="仿宋_GB2312"/>
                <w:spacing w:val="-11"/>
                <w:sz w:val="24"/>
              </w:rPr>
              <w:t>标的概况</w:t>
            </w:r>
          </w:p>
        </w:tc>
        <w:tc>
          <w:tcPr>
            <w:tcW w:w="508" w:type="pct"/>
            <w:tcBorders>
              <w:top w:val="single" w:color="515A6E" w:sz="6" w:space="0"/>
              <w:left w:val="single" w:color="515A6E" w:sz="6" w:space="0"/>
              <w:bottom w:val="single" w:color="515A6E" w:sz="6" w:space="0"/>
              <w:right w:val="single" w:color="515A6E" w:sz="6" w:space="0"/>
            </w:tcBorders>
            <w:tcMar>
              <w:top w:w="75" w:type="dxa"/>
              <w:left w:w="75" w:type="dxa"/>
              <w:bottom w:w="75" w:type="dxa"/>
              <w:right w:w="75" w:type="dxa"/>
            </w:tcMar>
            <w:vAlign w:val="center"/>
          </w:tcPr>
          <w:p>
            <w:pPr>
              <w:wordWrap w:val="0"/>
              <w:spacing w:after="150" w:line="240" w:lineRule="exact"/>
              <w:jc w:val="center"/>
              <w:rPr>
                <w:rFonts w:ascii="仿宋_GB2312" w:hAnsi="仿宋_GB2312" w:eastAsia="仿宋_GB2312" w:cs="仿宋_GB2312"/>
                <w:spacing w:val="-11"/>
                <w:sz w:val="24"/>
              </w:rPr>
            </w:pPr>
            <w:r>
              <w:rPr>
                <w:rFonts w:hint="eastAsia" w:ascii="仿宋_GB2312" w:hAnsi="仿宋_GB2312" w:eastAsia="仿宋_GB2312" w:cs="仿宋_GB2312"/>
                <w:spacing w:val="-11"/>
                <w:sz w:val="24"/>
              </w:rPr>
              <w:t>出租面积</w:t>
            </w:r>
          </w:p>
        </w:tc>
        <w:tc>
          <w:tcPr>
            <w:tcW w:w="471" w:type="pct"/>
            <w:tcBorders>
              <w:top w:val="single" w:color="515A6E" w:sz="6" w:space="0"/>
              <w:left w:val="single" w:color="515A6E" w:sz="6" w:space="0"/>
              <w:bottom w:val="single" w:color="515A6E" w:sz="6" w:space="0"/>
              <w:right w:val="single" w:color="515A6E" w:sz="6" w:space="0"/>
            </w:tcBorders>
            <w:tcMar>
              <w:top w:w="75" w:type="dxa"/>
              <w:left w:w="75" w:type="dxa"/>
              <w:bottom w:w="75" w:type="dxa"/>
              <w:right w:w="75" w:type="dxa"/>
            </w:tcMar>
            <w:vAlign w:val="center"/>
          </w:tcPr>
          <w:p>
            <w:pPr>
              <w:spacing w:after="150" w:line="240" w:lineRule="exact"/>
              <w:jc w:val="center"/>
              <w:rPr>
                <w:rFonts w:ascii="仿宋_GB2312" w:hAnsi="仿宋_GB2312" w:eastAsia="仿宋_GB2312" w:cs="仿宋_GB2312"/>
                <w:spacing w:val="-11"/>
                <w:sz w:val="24"/>
              </w:rPr>
            </w:pPr>
            <w:r>
              <w:rPr>
                <w:rFonts w:hint="eastAsia" w:ascii="仿宋_GB2312" w:hAnsi="仿宋_GB2312" w:eastAsia="仿宋_GB2312" w:cs="仿宋_GB2312"/>
                <w:spacing w:val="-11"/>
                <w:sz w:val="24"/>
              </w:rPr>
              <w:t>标的所在地</w:t>
            </w:r>
          </w:p>
        </w:tc>
        <w:tc>
          <w:tcPr>
            <w:tcW w:w="660" w:type="pct"/>
            <w:tcBorders>
              <w:top w:val="single" w:color="515A6E" w:sz="6" w:space="0"/>
              <w:left w:val="single" w:color="515A6E" w:sz="6" w:space="0"/>
              <w:bottom w:val="single" w:color="515A6E" w:sz="6" w:space="0"/>
              <w:right w:val="single" w:color="515A6E" w:sz="6" w:space="0"/>
            </w:tcBorders>
            <w:tcMar>
              <w:top w:w="75" w:type="dxa"/>
              <w:left w:w="75" w:type="dxa"/>
              <w:bottom w:w="75" w:type="dxa"/>
              <w:right w:w="75" w:type="dxa"/>
            </w:tcMar>
            <w:vAlign w:val="center"/>
          </w:tcPr>
          <w:p>
            <w:pPr>
              <w:spacing w:after="150" w:line="240" w:lineRule="exact"/>
              <w:jc w:val="center"/>
              <w:rPr>
                <w:rFonts w:ascii="仿宋_GB2312" w:hAnsi="仿宋_GB2312" w:eastAsia="仿宋_GB2312" w:cs="仿宋_GB2312"/>
                <w:spacing w:val="-11"/>
                <w:sz w:val="24"/>
              </w:rPr>
            </w:pPr>
            <w:r>
              <w:rPr>
                <w:rFonts w:hint="eastAsia" w:ascii="仿宋_GB2312" w:hAnsi="仿宋_GB2312" w:eastAsia="仿宋_GB2312" w:cs="仿宋_GB2312"/>
                <w:spacing w:val="-11"/>
                <w:sz w:val="24"/>
              </w:rPr>
              <w:t>起始价</w:t>
            </w:r>
          </w:p>
        </w:tc>
        <w:tc>
          <w:tcPr>
            <w:tcW w:w="396" w:type="pct"/>
            <w:tcBorders>
              <w:top w:val="single" w:color="515A6E" w:sz="6" w:space="0"/>
              <w:left w:val="single" w:color="515A6E" w:sz="6" w:space="0"/>
              <w:bottom w:val="single" w:color="515A6E" w:sz="6" w:space="0"/>
              <w:right w:val="single" w:color="515A6E" w:sz="6" w:space="0"/>
            </w:tcBorders>
            <w:tcMar>
              <w:top w:w="75" w:type="dxa"/>
              <w:left w:w="75" w:type="dxa"/>
              <w:bottom w:w="75" w:type="dxa"/>
              <w:right w:w="75" w:type="dxa"/>
            </w:tcMar>
            <w:vAlign w:val="center"/>
          </w:tcPr>
          <w:p>
            <w:pPr>
              <w:spacing w:after="150" w:line="240" w:lineRule="exact"/>
              <w:jc w:val="center"/>
              <w:rPr>
                <w:rFonts w:ascii="仿宋_GB2312" w:hAnsi="仿宋_GB2312" w:eastAsia="仿宋_GB2312" w:cs="仿宋_GB2312"/>
                <w:spacing w:val="-11"/>
                <w:sz w:val="24"/>
              </w:rPr>
            </w:pPr>
            <w:r>
              <w:rPr>
                <w:rFonts w:hint="eastAsia" w:ascii="仿宋_GB2312" w:hAnsi="仿宋_GB2312" w:eastAsia="仿宋_GB2312" w:cs="仿宋_GB2312"/>
                <w:spacing w:val="-11"/>
                <w:sz w:val="24"/>
              </w:rPr>
              <w:t>增价幅度</w:t>
            </w:r>
          </w:p>
        </w:tc>
      </w:tr>
      <w:tr>
        <w:tblPrEx>
          <w:tblCellMar>
            <w:top w:w="0" w:type="dxa"/>
            <w:left w:w="0" w:type="dxa"/>
            <w:bottom w:w="0" w:type="dxa"/>
            <w:right w:w="0" w:type="dxa"/>
          </w:tblCellMar>
        </w:tblPrEx>
        <w:trPr>
          <w:trHeight w:val="1056" w:hRule="atLeast"/>
          <w:jc w:val="center"/>
        </w:trPr>
        <w:tc>
          <w:tcPr>
            <w:tcW w:w="363" w:type="pct"/>
            <w:tcBorders>
              <w:top w:val="single" w:color="515A6E" w:sz="6" w:space="0"/>
              <w:left w:val="single" w:color="515A6E" w:sz="6" w:space="0"/>
              <w:bottom w:val="single" w:color="515A6E" w:sz="6" w:space="0"/>
              <w:right w:val="single" w:color="515A6E" w:sz="6" w:space="0"/>
            </w:tcBorders>
            <w:tcMar>
              <w:top w:w="75" w:type="dxa"/>
              <w:left w:w="75" w:type="dxa"/>
              <w:bottom w:w="75" w:type="dxa"/>
              <w:right w:w="75" w:type="dxa"/>
            </w:tcMar>
            <w:vAlign w:val="center"/>
          </w:tcPr>
          <w:p>
            <w:pPr>
              <w:spacing w:after="150" w:line="240" w:lineRule="exact"/>
              <w:jc w:val="center"/>
              <w:rPr>
                <w:rFonts w:ascii="仿宋_GB2312" w:hAnsi="仿宋_GB2312" w:eastAsia="仿宋_GB2312" w:cs="仿宋_GB2312"/>
                <w:spacing w:val="-11"/>
                <w:sz w:val="24"/>
              </w:rPr>
            </w:pPr>
            <w:r>
              <w:rPr>
                <w:rFonts w:hint="eastAsia" w:ascii="仿宋_GB2312" w:hAnsi="仿宋_GB2312" w:eastAsia="仿宋_GB2312" w:cs="仿宋_GB2312"/>
                <w:spacing w:val="-11"/>
                <w:sz w:val="24"/>
              </w:rPr>
              <w:t>1</w:t>
            </w:r>
          </w:p>
        </w:tc>
        <w:tc>
          <w:tcPr>
            <w:tcW w:w="916" w:type="pct"/>
            <w:tcBorders>
              <w:top w:val="single" w:color="515A6E" w:sz="6" w:space="0"/>
              <w:left w:val="single" w:color="515A6E" w:sz="6" w:space="0"/>
              <w:bottom w:val="single" w:color="515A6E" w:sz="6" w:space="0"/>
              <w:right w:val="single" w:color="515A6E" w:sz="6" w:space="0"/>
            </w:tcBorders>
            <w:tcMar>
              <w:top w:w="75" w:type="dxa"/>
              <w:left w:w="75" w:type="dxa"/>
              <w:bottom w:w="75" w:type="dxa"/>
              <w:right w:w="75" w:type="dxa"/>
            </w:tcMar>
            <w:vAlign w:val="center"/>
          </w:tcPr>
          <w:p>
            <w:pPr>
              <w:spacing w:after="150" w:line="240" w:lineRule="exact"/>
              <w:jc w:val="center"/>
              <w:rPr>
                <w:rFonts w:ascii="仿宋_GB2312" w:hAnsi="仿宋_GB2312" w:eastAsia="仿宋_GB2312" w:cs="仿宋_GB2312"/>
                <w:spacing w:val="-11"/>
                <w:sz w:val="24"/>
              </w:rPr>
            </w:pPr>
            <w:r>
              <w:rPr>
                <w:rFonts w:hint="eastAsia" w:ascii="仿宋_GB2312" w:hAnsi="仿宋_GB2312" w:eastAsia="仿宋_GB2312" w:cs="仿宋_GB2312"/>
                <w:spacing w:val="-11"/>
                <w:sz w:val="24"/>
              </w:rPr>
              <w:t>长沙市开福区东风路105号原交通银行一层门面7年租赁权</w:t>
            </w:r>
          </w:p>
        </w:tc>
        <w:tc>
          <w:tcPr>
            <w:tcW w:w="629" w:type="pct"/>
            <w:tcBorders>
              <w:top w:val="single" w:color="515A6E" w:sz="6" w:space="0"/>
              <w:left w:val="single" w:color="515A6E" w:sz="6" w:space="0"/>
              <w:bottom w:val="single" w:color="515A6E" w:sz="6" w:space="0"/>
              <w:right w:val="single" w:color="515A6E" w:sz="6" w:space="0"/>
            </w:tcBorders>
            <w:tcMar>
              <w:top w:w="75" w:type="dxa"/>
              <w:left w:w="75" w:type="dxa"/>
              <w:bottom w:w="75" w:type="dxa"/>
              <w:right w:w="75" w:type="dxa"/>
            </w:tcMar>
            <w:vAlign w:val="center"/>
          </w:tcPr>
          <w:p>
            <w:pPr>
              <w:wordWrap w:val="0"/>
              <w:spacing w:after="150" w:line="240" w:lineRule="exact"/>
              <w:jc w:val="center"/>
              <w:rPr>
                <w:rFonts w:ascii="仿宋_GB2312" w:hAnsi="仿宋_GB2312" w:eastAsia="仿宋_GB2312" w:cs="仿宋_GB2312"/>
                <w:spacing w:val="-11"/>
                <w:sz w:val="24"/>
              </w:rPr>
            </w:pPr>
            <w:r>
              <w:rPr>
                <w:rFonts w:hint="eastAsia" w:ascii="仿宋_GB2312" w:hAnsi="仿宋_GB2312" w:eastAsia="仿宋_GB2312" w:cs="仿宋_GB2312"/>
                <w:spacing w:val="-11"/>
                <w:sz w:val="24"/>
              </w:rPr>
              <w:t>湘国资〔2024〕00X号</w:t>
            </w:r>
          </w:p>
        </w:tc>
        <w:tc>
          <w:tcPr>
            <w:tcW w:w="1054" w:type="pct"/>
            <w:tcBorders>
              <w:top w:val="single" w:color="515A6E" w:sz="6" w:space="0"/>
              <w:left w:val="single" w:color="515A6E" w:sz="6" w:space="0"/>
              <w:bottom w:val="single" w:color="515A6E" w:sz="6" w:space="0"/>
              <w:right w:val="single" w:color="515A6E" w:sz="6" w:space="0"/>
            </w:tcBorders>
            <w:tcMar>
              <w:top w:w="75" w:type="dxa"/>
              <w:left w:w="75" w:type="dxa"/>
              <w:bottom w:w="75" w:type="dxa"/>
              <w:right w:w="75" w:type="dxa"/>
            </w:tcMar>
            <w:vAlign w:val="center"/>
          </w:tcPr>
          <w:p>
            <w:pPr>
              <w:spacing w:after="150" w:line="240" w:lineRule="exact"/>
              <w:jc w:val="center"/>
              <w:rPr>
                <w:rFonts w:ascii="仿宋_GB2312" w:hAnsi="仿宋_GB2312" w:eastAsia="仿宋_GB2312" w:cs="仿宋_GB2312"/>
                <w:spacing w:val="-11"/>
                <w:sz w:val="24"/>
              </w:rPr>
            </w:pPr>
            <w:r>
              <w:rPr>
                <w:rFonts w:hint="eastAsia" w:ascii="仿宋_GB2312" w:hAnsi="仿宋_GB2312" w:eastAsia="仿宋_GB2312" w:cs="仿宋_GB2312"/>
                <w:spacing w:val="-11"/>
                <w:sz w:val="24"/>
              </w:rPr>
              <w:t>房屋户型：多室；是否设置原承租人优先购买权：否；</w:t>
            </w:r>
          </w:p>
        </w:tc>
        <w:tc>
          <w:tcPr>
            <w:tcW w:w="508" w:type="pct"/>
            <w:tcBorders>
              <w:top w:val="single" w:color="515A6E" w:sz="6" w:space="0"/>
              <w:left w:val="single" w:color="515A6E" w:sz="6" w:space="0"/>
              <w:bottom w:val="single" w:color="515A6E" w:sz="6" w:space="0"/>
              <w:right w:val="single" w:color="515A6E" w:sz="6" w:space="0"/>
            </w:tcBorders>
            <w:tcMar>
              <w:top w:w="75" w:type="dxa"/>
              <w:left w:w="75" w:type="dxa"/>
              <w:bottom w:w="75" w:type="dxa"/>
              <w:right w:w="75" w:type="dxa"/>
            </w:tcMar>
            <w:vAlign w:val="center"/>
          </w:tcPr>
          <w:p>
            <w:pPr>
              <w:wordWrap w:val="0"/>
              <w:spacing w:after="150" w:line="240" w:lineRule="exact"/>
              <w:jc w:val="center"/>
              <w:rPr>
                <w:rFonts w:ascii="仿宋_GB2312" w:hAnsi="仿宋_GB2312" w:eastAsia="仿宋_GB2312" w:cs="仿宋_GB2312"/>
                <w:spacing w:val="-11"/>
                <w:sz w:val="24"/>
              </w:rPr>
            </w:pPr>
            <w:r>
              <w:rPr>
                <w:rFonts w:hint="eastAsia" w:ascii="仿宋_GB2312" w:hAnsi="仿宋_GB2312" w:eastAsia="仿宋_GB2312" w:cs="仿宋_GB2312"/>
                <w:spacing w:val="-11"/>
                <w:sz w:val="24"/>
              </w:rPr>
              <w:t>137.1平方米</w:t>
            </w:r>
          </w:p>
        </w:tc>
        <w:tc>
          <w:tcPr>
            <w:tcW w:w="471" w:type="pct"/>
            <w:tcBorders>
              <w:top w:val="single" w:color="515A6E" w:sz="6" w:space="0"/>
              <w:left w:val="single" w:color="515A6E" w:sz="6" w:space="0"/>
              <w:bottom w:val="single" w:color="515A6E" w:sz="6" w:space="0"/>
              <w:right w:val="single" w:color="515A6E" w:sz="6" w:space="0"/>
            </w:tcBorders>
            <w:tcMar>
              <w:top w:w="75" w:type="dxa"/>
              <w:left w:w="75" w:type="dxa"/>
              <w:bottom w:w="75" w:type="dxa"/>
              <w:right w:w="75" w:type="dxa"/>
            </w:tcMar>
            <w:vAlign w:val="center"/>
          </w:tcPr>
          <w:p>
            <w:pPr>
              <w:wordWrap w:val="0"/>
              <w:spacing w:after="150" w:line="240" w:lineRule="exact"/>
              <w:jc w:val="center"/>
              <w:rPr>
                <w:rFonts w:ascii="仿宋_GB2312" w:hAnsi="仿宋_GB2312" w:eastAsia="仿宋_GB2312" w:cs="仿宋_GB2312"/>
                <w:spacing w:val="-11"/>
                <w:sz w:val="24"/>
              </w:rPr>
            </w:pPr>
            <w:r>
              <w:rPr>
                <w:rFonts w:hint="eastAsia" w:ascii="仿宋_GB2312" w:hAnsi="仿宋_GB2312" w:eastAsia="仿宋_GB2312" w:cs="仿宋_GB2312"/>
                <w:spacing w:val="-11"/>
                <w:sz w:val="24"/>
              </w:rPr>
              <w:t>长沙市</w:t>
            </w:r>
          </w:p>
        </w:tc>
        <w:tc>
          <w:tcPr>
            <w:tcW w:w="660" w:type="pct"/>
            <w:tcBorders>
              <w:top w:val="single" w:color="515A6E" w:sz="6" w:space="0"/>
              <w:left w:val="single" w:color="515A6E" w:sz="6" w:space="0"/>
              <w:bottom w:val="single" w:color="515A6E" w:sz="6" w:space="0"/>
              <w:right w:val="single" w:color="515A6E" w:sz="6" w:space="0"/>
            </w:tcBorders>
            <w:tcMar>
              <w:top w:w="75" w:type="dxa"/>
              <w:left w:w="75" w:type="dxa"/>
              <w:bottom w:w="75" w:type="dxa"/>
              <w:right w:w="75" w:type="dxa"/>
            </w:tcMar>
            <w:vAlign w:val="center"/>
          </w:tcPr>
          <w:p>
            <w:pPr>
              <w:wordWrap w:val="0"/>
              <w:spacing w:after="150" w:line="240" w:lineRule="exact"/>
              <w:jc w:val="center"/>
              <w:rPr>
                <w:rFonts w:ascii="仿宋_GB2312" w:hAnsi="仿宋_GB2312" w:eastAsia="仿宋_GB2312" w:cs="仿宋_GB2312"/>
                <w:spacing w:val="-11"/>
                <w:sz w:val="24"/>
              </w:rPr>
            </w:pPr>
            <w:r>
              <w:rPr>
                <w:rFonts w:hint="eastAsia" w:ascii="仿宋_GB2312" w:hAnsi="仿宋_GB2312" w:eastAsia="仿宋_GB2312" w:cs="仿宋_GB2312"/>
                <w:spacing w:val="-11"/>
                <w:sz w:val="24"/>
              </w:rPr>
              <w:t>117,200元/年</w:t>
            </w:r>
          </w:p>
        </w:tc>
        <w:tc>
          <w:tcPr>
            <w:tcW w:w="396" w:type="pct"/>
            <w:tcBorders>
              <w:top w:val="single" w:color="515A6E" w:sz="6" w:space="0"/>
              <w:left w:val="single" w:color="515A6E" w:sz="6" w:space="0"/>
              <w:bottom w:val="single" w:color="515A6E" w:sz="6" w:space="0"/>
              <w:right w:val="single" w:color="515A6E" w:sz="6" w:space="0"/>
            </w:tcBorders>
            <w:tcMar>
              <w:top w:w="75" w:type="dxa"/>
              <w:left w:w="75" w:type="dxa"/>
              <w:bottom w:w="75" w:type="dxa"/>
              <w:right w:w="75" w:type="dxa"/>
            </w:tcMar>
            <w:vAlign w:val="center"/>
          </w:tcPr>
          <w:p>
            <w:pPr>
              <w:wordWrap w:val="0"/>
              <w:spacing w:after="150" w:line="240" w:lineRule="exact"/>
              <w:jc w:val="center"/>
              <w:rPr>
                <w:rFonts w:ascii="仿宋_GB2312" w:hAnsi="仿宋_GB2312" w:eastAsia="仿宋_GB2312" w:cs="仿宋_GB2312"/>
                <w:spacing w:val="-11"/>
                <w:sz w:val="24"/>
              </w:rPr>
            </w:pPr>
            <w:r>
              <w:rPr>
                <w:rFonts w:hint="eastAsia" w:ascii="仿宋_GB2312" w:hAnsi="仿宋_GB2312" w:eastAsia="仿宋_GB2312" w:cs="仿宋_GB2312"/>
                <w:spacing w:val="-11"/>
                <w:sz w:val="24"/>
              </w:rPr>
              <w:t>1000元/年</w:t>
            </w:r>
          </w:p>
        </w:tc>
      </w:tr>
    </w:tbl>
    <w:p>
      <w:pPr>
        <w:pStyle w:val="10"/>
        <w:spacing w:before="0" w:beforeAutospacing="0" w:after="0" w:afterAutospacing="0" w:line="460" w:lineRule="exact"/>
        <w:ind w:firstLine="64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注：1、</w:t>
      </w:r>
      <w:bookmarkStart w:id="0" w:name="_Hlk162605123"/>
      <w:r>
        <w:rPr>
          <w:rFonts w:hint="eastAsia" w:ascii="仿宋_GB2312" w:hAnsi="仿宋_GB2312" w:eastAsia="仿宋_GB2312" w:cs="仿宋_GB2312"/>
          <w:sz w:val="28"/>
          <w:szCs w:val="28"/>
        </w:rPr>
        <w:t>第三年开始每两年递增2%</w:t>
      </w:r>
      <w:bookmarkEnd w:id="0"/>
      <w:r>
        <w:rPr>
          <w:rFonts w:hint="eastAsia" w:ascii="仿宋_GB2312" w:hAnsi="仿宋_GB2312" w:eastAsia="仿宋_GB2312" w:cs="仿宋_GB2312"/>
          <w:sz w:val="28"/>
          <w:szCs w:val="28"/>
        </w:rPr>
        <w:t>。</w:t>
      </w:r>
    </w:p>
    <w:p>
      <w:pPr>
        <w:pStyle w:val="10"/>
        <w:spacing w:before="0" w:beforeAutospacing="0" w:after="0" w:afterAutospacing="0" w:line="460" w:lineRule="exact"/>
        <w:ind w:firstLine="64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2、租金以半年为缴纳周期，需提前一个月一次性缴纳。</w:t>
      </w:r>
    </w:p>
    <w:p>
      <w:pPr>
        <w:pStyle w:val="10"/>
        <w:spacing w:before="0" w:beforeAutospacing="0" w:after="0" w:afterAutospacing="0" w:line="460" w:lineRule="exact"/>
        <w:ind w:firstLine="64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3、标的装修免租期为1个月。</w:t>
      </w:r>
    </w:p>
    <w:p>
      <w:pPr>
        <w:pStyle w:val="10"/>
        <w:spacing w:before="0" w:beforeAutospacing="0" w:after="0" w:afterAutospacing="0" w:line="460" w:lineRule="exact"/>
        <w:ind w:firstLine="641"/>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二、竞价方式的选择：网络拍卖</w:t>
      </w:r>
    </w:p>
    <w:p>
      <w:pPr>
        <w:pStyle w:val="10"/>
        <w:spacing w:before="0" w:beforeAutospacing="0" w:after="0" w:afterAutospacing="0" w:line="460" w:lineRule="exact"/>
        <w:ind w:firstLine="641"/>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三、本次国有资产公开出租在互联网上交易，即通过湖南省国有资产资源交易平台的国有资产交易系统（</w:t>
      </w:r>
      <w:r>
        <w:fldChar w:fldCharType="begin"/>
      </w:r>
      <w:r>
        <w:instrText xml:space="preserve"> HYPERLINK "www.hnsdzjy.org:18484/portal/index" \t "_blank" </w:instrText>
      </w:r>
      <w:r>
        <w:fldChar w:fldCharType="separate"/>
      </w:r>
      <w:r>
        <w:rPr>
          <w:rStyle w:val="14"/>
          <w:rFonts w:hint="eastAsia" w:ascii="仿宋_GB2312" w:hAnsi="仿宋_GB2312" w:eastAsia="仿宋_GB2312" w:cs="仿宋_GB2312"/>
          <w:color w:val="auto"/>
          <w:spacing w:val="-11"/>
          <w:sz w:val="28"/>
          <w:szCs w:val="28"/>
        </w:rPr>
        <w:t>www.hnsdzjy.org:18484/portal/index</w:t>
      </w:r>
      <w:r>
        <w:rPr>
          <w:rStyle w:val="14"/>
          <w:rFonts w:hint="eastAsia" w:ascii="仿宋_GB2312" w:hAnsi="仿宋_GB2312" w:eastAsia="仿宋_GB2312" w:cs="仿宋_GB2312"/>
          <w:color w:val="auto"/>
          <w:spacing w:val="-11"/>
          <w:sz w:val="28"/>
          <w:szCs w:val="28"/>
        </w:rPr>
        <w:fldChar w:fldCharType="end"/>
      </w:r>
      <w:r>
        <w:rPr>
          <w:rFonts w:hint="eastAsia" w:ascii="仿宋_GB2312" w:hAnsi="仿宋_GB2312" w:eastAsia="仿宋_GB2312" w:cs="仿宋_GB2312"/>
          <w:sz w:val="28"/>
          <w:szCs w:val="28"/>
        </w:rPr>
        <w:t>，以下简称交易系统）进行。凡办理好数字证书及电子签章、符合本公告要求足额交纳竞价保证金的竞价人，方可参加本次网上公开出租交易活动。</w:t>
      </w:r>
    </w:p>
    <w:p>
      <w:pPr>
        <w:pStyle w:val="10"/>
        <w:spacing w:before="0" w:beforeAutospacing="0" w:after="0" w:afterAutospacing="0" w:line="460" w:lineRule="exact"/>
        <w:ind w:firstLine="641"/>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四、本次网上公开出租具体要求及竞得人确定方式详见各标的公开出租文件。有意竞价者可登录湖南省国有资产资源交易平台的国有资产交易系统查询。竞价人可2024年09月04日09时00分00秒至2024年09月19日17时00分00秒，在网上浏览或下载本次网上公开出租标的相关文件，并按相关文件规定的操作程序参加竞价。</w:t>
      </w:r>
    </w:p>
    <w:p>
      <w:pPr>
        <w:pStyle w:val="10"/>
        <w:spacing w:before="0" w:beforeAutospacing="0" w:after="0" w:afterAutospacing="0" w:line="460" w:lineRule="exact"/>
        <w:ind w:firstLine="641"/>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五、本次网上公开出租活动网上报名时间为2024年09月04日09时00分00</w:t>
      </w:r>
      <w:r>
        <w:rPr>
          <w:rFonts w:hint="eastAsia" w:ascii="仿宋_GB2312" w:hAnsi="仿宋_GB2312" w:eastAsia="仿宋_GB2312" w:cs="仿宋_GB2312"/>
          <w:sz w:val="28"/>
          <w:szCs w:val="28"/>
          <w:lang w:val="en-US" w:eastAsia="zh-CN"/>
        </w:rPr>
        <w:t>秒</w:t>
      </w:r>
      <w:r>
        <w:rPr>
          <w:rFonts w:hint="eastAsia" w:ascii="仿宋_GB2312" w:hAnsi="仿宋_GB2312" w:eastAsia="仿宋_GB2312" w:cs="仿宋_GB2312"/>
          <w:sz w:val="28"/>
          <w:szCs w:val="28"/>
        </w:rPr>
        <w:t>起（以网上交易系统服务器时间为准，下同）至2024年 09月19日17时00分00秒止。</w:t>
      </w:r>
    </w:p>
    <w:p>
      <w:pPr>
        <w:pStyle w:val="10"/>
        <w:spacing w:before="0" w:beforeAutospacing="0" w:after="0" w:afterAutospacing="0" w:line="460" w:lineRule="exact"/>
        <w:ind w:firstLine="641"/>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六、竞价人应及时登录湖南省国有资产资源交易平台的国有资产交易系统，在系统上向出租人提交竞价申请，并交纳竞价保证金（保证金交纳账号由交易系统随机生成）。竞价保证金交纳截止时间为2024年09月19日17时00分00秒。</w:t>
      </w:r>
    </w:p>
    <w:p>
      <w:pPr>
        <w:pStyle w:val="10"/>
        <w:spacing w:before="0" w:beforeAutospacing="0" w:after="0" w:afterAutospacing="0" w:line="460" w:lineRule="exact"/>
        <w:ind w:firstLine="641"/>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七、本次网上公开出租活动拍卖开始时间为2024年09月20日10时00分00秒。</w:t>
      </w:r>
    </w:p>
    <w:p>
      <w:pPr>
        <w:pStyle w:val="10"/>
        <w:spacing w:before="0" w:beforeAutospacing="0" w:after="0" w:afterAutospacing="0" w:line="460" w:lineRule="exact"/>
        <w:ind w:firstLine="641"/>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八、如果在参加本次网上公开出租活动的过程中遇到疑难问题，请及时联系各相关单位，联系电话如下：</w:t>
      </w:r>
    </w:p>
    <w:p>
      <w:pPr>
        <w:pStyle w:val="10"/>
        <w:spacing w:before="0" w:beforeAutospacing="0" w:after="0" w:afterAutospacing="0" w:line="460" w:lineRule="exact"/>
        <w:ind w:firstLine="641"/>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网上挂牌转让业务咨询电话：湖南省拍卖行有限责任公司 王经理13607435547</w:t>
      </w:r>
    </w:p>
    <w:p>
      <w:pPr>
        <w:pStyle w:val="10"/>
        <w:spacing w:before="0" w:beforeAutospacing="0" w:after="0" w:afterAutospacing="0" w:line="460" w:lineRule="exact"/>
        <w:ind w:firstLine="641"/>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交易系统使用服务咨询电话：湖南省公共资源交易中心</w:t>
      </w:r>
    </w:p>
    <w:p>
      <w:pPr>
        <w:pStyle w:val="10"/>
        <w:spacing w:before="0" w:beforeAutospacing="0" w:after="0" w:afterAutospacing="0" w:line="460" w:lineRule="exact"/>
        <w:ind w:firstLine="640"/>
        <w:jc w:val="right"/>
        <w:rPr>
          <w:rFonts w:ascii="仿宋_GB2312" w:hAnsi="仿宋_GB2312" w:eastAsia="仿宋_GB2312" w:cs="仿宋_GB2312"/>
          <w:sz w:val="28"/>
          <w:szCs w:val="28"/>
        </w:rPr>
      </w:pPr>
      <w:bookmarkStart w:id="1" w:name="_GoBack"/>
      <w:bookmarkEnd w:id="1"/>
    </w:p>
    <w:p>
      <w:pPr>
        <w:pStyle w:val="10"/>
        <w:spacing w:before="0" w:beforeAutospacing="0" w:after="0" w:afterAutospacing="0" w:line="460" w:lineRule="exact"/>
        <w:ind w:firstLine="641"/>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湖南省拍卖行有限责任公司</w:t>
      </w:r>
    </w:p>
    <w:p>
      <w:pPr>
        <w:pStyle w:val="10"/>
        <w:spacing w:before="0" w:beforeAutospacing="0" w:after="0" w:afterAutospacing="0" w:line="460" w:lineRule="exact"/>
        <w:ind w:firstLine="641"/>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2024年8月30日</w:t>
      </w:r>
    </w:p>
    <w:p>
      <w:pPr>
        <w:pStyle w:val="10"/>
        <w:spacing w:before="75" w:beforeAutospacing="0" w:after="75" w:afterAutospacing="0" w:line="460" w:lineRule="exact"/>
        <w:rPr>
          <w:rFonts w:ascii="仿宋_GB2312" w:hAnsi="仿宋_GB2312" w:eastAsia="仿宋_GB2312" w:cs="仿宋_GB2312"/>
          <w:sz w:val="28"/>
          <w:szCs w:val="28"/>
        </w:rPr>
      </w:pPr>
    </w:p>
    <w:p>
      <w:pPr>
        <w:pStyle w:val="10"/>
        <w:spacing w:before="75" w:beforeAutospacing="0" w:after="75" w:afterAutospacing="0" w:line="480" w:lineRule="exact"/>
        <w:rPr>
          <w:rFonts w:ascii="仿宋_GB2312" w:hAnsi="仿宋_GB2312" w:eastAsia="仿宋_GB2312" w:cs="仿宋_GB2312"/>
          <w:sz w:val="30"/>
          <w:szCs w:val="30"/>
        </w:rPr>
      </w:pPr>
    </w:p>
    <w:p>
      <w:pPr>
        <w:pStyle w:val="10"/>
        <w:spacing w:before="75" w:beforeAutospacing="0" w:after="75" w:afterAutospacing="0" w:line="480" w:lineRule="exact"/>
        <w:rPr>
          <w:rFonts w:ascii="仿宋_GB2312" w:hAnsi="仿宋_GB2312" w:eastAsia="仿宋_GB2312" w:cs="仿宋_GB2312"/>
          <w:sz w:val="30"/>
          <w:szCs w:val="30"/>
        </w:rPr>
      </w:pPr>
    </w:p>
    <w:p>
      <w:pPr>
        <w:pStyle w:val="10"/>
        <w:spacing w:before="75" w:beforeAutospacing="0" w:after="75" w:afterAutospacing="0" w:line="480" w:lineRule="exact"/>
        <w:rPr>
          <w:rFonts w:ascii="仿宋_GB2312" w:hAnsi="仿宋_GB2312" w:eastAsia="仿宋_GB2312" w:cs="仿宋_GB2312"/>
          <w:sz w:val="30"/>
          <w:szCs w:val="30"/>
        </w:rPr>
      </w:pPr>
    </w:p>
    <w:p>
      <w:pPr>
        <w:pStyle w:val="10"/>
        <w:spacing w:before="75" w:beforeAutospacing="0" w:after="75" w:afterAutospacing="0" w:line="480" w:lineRule="exact"/>
        <w:rPr>
          <w:rFonts w:ascii="仿宋_GB2312" w:hAnsi="仿宋_GB2312" w:eastAsia="仿宋_GB2312" w:cs="仿宋_GB2312"/>
          <w:sz w:val="30"/>
          <w:szCs w:val="30"/>
        </w:rPr>
      </w:pPr>
    </w:p>
    <w:p>
      <w:pPr>
        <w:pStyle w:val="10"/>
        <w:spacing w:before="75" w:beforeAutospacing="0" w:after="75" w:afterAutospacing="0" w:line="480" w:lineRule="exact"/>
        <w:rPr>
          <w:rFonts w:ascii="仿宋_GB2312" w:hAnsi="仿宋_GB2312" w:eastAsia="仿宋_GB2312" w:cs="仿宋_GB2312"/>
          <w:sz w:val="30"/>
          <w:szCs w:val="30"/>
        </w:rPr>
      </w:pPr>
    </w:p>
    <w:p>
      <w:pPr>
        <w:pStyle w:val="10"/>
        <w:spacing w:before="75" w:beforeAutospacing="0" w:after="75" w:afterAutospacing="0" w:line="480" w:lineRule="exact"/>
        <w:rPr>
          <w:rFonts w:ascii="仿宋_GB2312" w:hAnsi="仿宋_GB2312" w:eastAsia="仿宋_GB2312" w:cs="仿宋_GB2312"/>
          <w:sz w:val="30"/>
          <w:szCs w:val="30"/>
        </w:rPr>
      </w:pPr>
    </w:p>
    <w:p>
      <w:pPr>
        <w:pStyle w:val="10"/>
        <w:spacing w:before="75" w:beforeAutospacing="0" w:after="75" w:afterAutospacing="0" w:line="480" w:lineRule="exact"/>
        <w:rPr>
          <w:rFonts w:ascii="仿宋_GB2312" w:hAnsi="仿宋_GB2312" w:eastAsia="仿宋_GB2312" w:cs="仿宋_GB2312"/>
          <w:sz w:val="30"/>
          <w:szCs w:val="30"/>
        </w:rPr>
      </w:pPr>
    </w:p>
    <w:p>
      <w:pPr>
        <w:pStyle w:val="10"/>
        <w:spacing w:before="75" w:beforeAutospacing="0" w:after="75" w:afterAutospacing="0" w:line="480" w:lineRule="exact"/>
        <w:rPr>
          <w:rFonts w:ascii="仿宋_GB2312" w:hAnsi="仿宋_GB2312" w:eastAsia="仿宋_GB2312" w:cs="仿宋_GB2312"/>
          <w:sz w:val="30"/>
          <w:szCs w:val="30"/>
        </w:rPr>
      </w:pPr>
    </w:p>
    <w:p>
      <w:pPr>
        <w:pStyle w:val="10"/>
        <w:spacing w:before="75" w:beforeAutospacing="0" w:after="75" w:afterAutospacing="0" w:line="480" w:lineRule="exact"/>
        <w:rPr>
          <w:rFonts w:ascii="仿宋_GB2312" w:hAnsi="仿宋_GB2312" w:eastAsia="仿宋_GB2312" w:cs="仿宋_GB2312"/>
          <w:sz w:val="30"/>
          <w:szCs w:val="30"/>
        </w:rPr>
      </w:pPr>
    </w:p>
    <w:p>
      <w:pPr>
        <w:pStyle w:val="10"/>
        <w:spacing w:before="75" w:beforeAutospacing="0" w:after="75" w:afterAutospacing="0" w:line="480" w:lineRule="exact"/>
        <w:rPr>
          <w:rFonts w:ascii="仿宋_GB2312" w:hAnsi="仿宋_GB2312" w:eastAsia="仿宋_GB2312" w:cs="仿宋_GB2312"/>
          <w:sz w:val="30"/>
          <w:szCs w:val="30"/>
        </w:rPr>
      </w:pPr>
    </w:p>
    <w:p>
      <w:pPr>
        <w:pStyle w:val="10"/>
        <w:spacing w:before="75" w:beforeAutospacing="0" w:after="75" w:afterAutospacing="0" w:line="480" w:lineRule="exact"/>
        <w:rPr>
          <w:rFonts w:ascii="仿宋_GB2312" w:hAnsi="仿宋_GB2312" w:eastAsia="仿宋_GB2312" w:cs="仿宋_GB2312"/>
          <w:sz w:val="30"/>
          <w:szCs w:val="30"/>
        </w:rPr>
      </w:pPr>
    </w:p>
    <w:p>
      <w:pPr>
        <w:pStyle w:val="10"/>
        <w:spacing w:before="0" w:beforeAutospacing="0" w:after="0" w:afterAutospacing="0" w:line="480" w:lineRule="exact"/>
        <w:jc w:val="right"/>
        <w:rPr>
          <w:rFonts w:ascii="仿宋_GB2312" w:hAnsi="仿宋_GB2312" w:eastAsia="仿宋_GB2312" w:cs="仿宋_GB2312"/>
          <w:sz w:val="30"/>
          <w:szCs w:val="30"/>
        </w:rPr>
      </w:pPr>
    </w:p>
    <w:p>
      <w:pPr>
        <w:pStyle w:val="10"/>
        <w:spacing w:before="0" w:beforeAutospacing="0" w:after="0" w:afterAutospacing="0" w:line="480" w:lineRule="exact"/>
        <w:jc w:val="right"/>
        <w:rPr>
          <w:rFonts w:ascii="仿宋_GB2312" w:hAnsi="仿宋_GB2312" w:eastAsia="仿宋_GB2312" w:cs="仿宋_GB2312"/>
          <w:sz w:val="30"/>
          <w:szCs w:val="30"/>
        </w:rPr>
      </w:pPr>
    </w:p>
    <w:p>
      <w:pPr>
        <w:widowControl/>
        <w:spacing w:line="460" w:lineRule="exact"/>
        <w:ind w:firstLine="560" w:firstLineChars="200"/>
        <w:jc w:val="left"/>
        <w:rPr>
          <w:rFonts w:ascii="仿宋_GB2312" w:hAnsi="仿宋_GB2312" w:eastAsia="仿宋_GB2312" w:cs="仿宋_GB2312"/>
          <w:sz w:val="28"/>
          <w:szCs w:val="28"/>
        </w:rPr>
      </w:pPr>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wYmI3ODExYjY1NzA2MWFlZGJmZWFmYTljN2NlZDkifQ=="/>
  </w:docVars>
  <w:rsids>
    <w:rsidRoot w:val="002C3CAA"/>
    <w:rsid w:val="00077A9D"/>
    <w:rsid w:val="00094798"/>
    <w:rsid w:val="000D42FE"/>
    <w:rsid w:val="0016510D"/>
    <w:rsid w:val="001D5657"/>
    <w:rsid w:val="001F3964"/>
    <w:rsid w:val="00201971"/>
    <w:rsid w:val="0023327F"/>
    <w:rsid w:val="00283389"/>
    <w:rsid w:val="002931D1"/>
    <w:rsid w:val="00295197"/>
    <w:rsid w:val="002A7737"/>
    <w:rsid w:val="002B001B"/>
    <w:rsid w:val="002B7422"/>
    <w:rsid w:val="002C2917"/>
    <w:rsid w:val="002C3CAA"/>
    <w:rsid w:val="00316C89"/>
    <w:rsid w:val="003300F8"/>
    <w:rsid w:val="00392C76"/>
    <w:rsid w:val="003937D4"/>
    <w:rsid w:val="003B3508"/>
    <w:rsid w:val="003C61EB"/>
    <w:rsid w:val="00475EBF"/>
    <w:rsid w:val="00484286"/>
    <w:rsid w:val="004D017F"/>
    <w:rsid w:val="0050563E"/>
    <w:rsid w:val="00551FEF"/>
    <w:rsid w:val="005B2914"/>
    <w:rsid w:val="005B522B"/>
    <w:rsid w:val="00644A9A"/>
    <w:rsid w:val="006650CE"/>
    <w:rsid w:val="00697D29"/>
    <w:rsid w:val="006C489A"/>
    <w:rsid w:val="00700853"/>
    <w:rsid w:val="007731AC"/>
    <w:rsid w:val="008057F9"/>
    <w:rsid w:val="00812E3E"/>
    <w:rsid w:val="008F348B"/>
    <w:rsid w:val="008F3F04"/>
    <w:rsid w:val="00912DCC"/>
    <w:rsid w:val="0094135F"/>
    <w:rsid w:val="009E762E"/>
    <w:rsid w:val="00A40D2B"/>
    <w:rsid w:val="00A42AD1"/>
    <w:rsid w:val="00A70380"/>
    <w:rsid w:val="00A87F69"/>
    <w:rsid w:val="00AA14C1"/>
    <w:rsid w:val="00AF12C4"/>
    <w:rsid w:val="00AF56FA"/>
    <w:rsid w:val="00B01E49"/>
    <w:rsid w:val="00B73885"/>
    <w:rsid w:val="00BA40A9"/>
    <w:rsid w:val="00C91AE8"/>
    <w:rsid w:val="00D16C70"/>
    <w:rsid w:val="00D24DF6"/>
    <w:rsid w:val="00D775BA"/>
    <w:rsid w:val="00D96FF4"/>
    <w:rsid w:val="00DB38B9"/>
    <w:rsid w:val="00DE241E"/>
    <w:rsid w:val="00DE523C"/>
    <w:rsid w:val="00E16524"/>
    <w:rsid w:val="00E74D6B"/>
    <w:rsid w:val="00EA75DD"/>
    <w:rsid w:val="00EC6108"/>
    <w:rsid w:val="00EF0C06"/>
    <w:rsid w:val="00EF71BB"/>
    <w:rsid w:val="00F427DC"/>
    <w:rsid w:val="00F43E0A"/>
    <w:rsid w:val="00F71919"/>
    <w:rsid w:val="0AEC7836"/>
    <w:rsid w:val="187C582E"/>
    <w:rsid w:val="1BAB6DAE"/>
    <w:rsid w:val="1EA8656B"/>
    <w:rsid w:val="291F29A6"/>
    <w:rsid w:val="2FBA068B"/>
    <w:rsid w:val="3C3157FA"/>
    <w:rsid w:val="47C54BA4"/>
    <w:rsid w:val="4C936983"/>
    <w:rsid w:val="58312722"/>
    <w:rsid w:val="595E2126"/>
    <w:rsid w:val="6D753C5B"/>
    <w:rsid w:val="7E8D4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2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adjustRightInd w:val="0"/>
      <w:spacing w:line="360" w:lineRule="atLeast"/>
      <w:textAlignment w:val="baseline"/>
    </w:pPr>
    <w:rPr>
      <w:rFonts w:ascii="宋体" w:hAnsi="Courier New"/>
    </w:rPr>
  </w:style>
  <w:style w:type="paragraph" w:styleId="4">
    <w:name w:val="annotation text"/>
    <w:basedOn w:val="1"/>
    <w:link w:val="18"/>
    <w:semiHidden/>
    <w:unhideWhenUsed/>
    <w:qFormat/>
    <w:uiPriority w:val="99"/>
    <w:pPr>
      <w:jc w:val="left"/>
    </w:pPr>
  </w:style>
  <w:style w:type="paragraph" w:styleId="5">
    <w:name w:val="Body Text Indent"/>
    <w:basedOn w:val="1"/>
    <w:next w:val="6"/>
    <w:link w:val="15"/>
    <w:qFormat/>
    <w:uiPriority w:val="0"/>
    <w:pPr>
      <w:spacing w:line="500" w:lineRule="exact"/>
      <w:ind w:firstLine="560" w:firstLineChars="200"/>
    </w:pPr>
    <w:rPr>
      <w:bCs/>
      <w:kern w:val="0"/>
      <w:sz w:val="28"/>
      <w:szCs w:val="20"/>
    </w:rPr>
  </w:style>
  <w:style w:type="paragraph" w:styleId="6">
    <w:name w:val="annotation subject"/>
    <w:basedOn w:val="4"/>
    <w:next w:val="4"/>
    <w:link w:val="19"/>
    <w:semiHidden/>
    <w:unhideWhenUsed/>
    <w:qFormat/>
    <w:uiPriority w:val="99"/>
    <w:rPr>
      <w:b/>
      <w:bCs/>
    </w:rPr>
  </w:style>
  <w:style w:type="paragraph" w:styleId="7">
    <w:name w:val="Balloon Text"/>
    <w:basedOn w:val="1"/>
    <w:link w:val="20"/>
    <w:semiHidden/>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100" w:beforeAutospacing="1" w:after="100" w:afterAutospacing="1"/>
      <w:jc w:val="left"/>
    </w:pPr>
    <w:rPr>
      <w:kern w:val="0"/>
      <w:sz w:val="24"/>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u w:val="single"/>
    </w:rPr>
  </w:style>
  <w:style w:type="character" w:customStyle="1" w:styleId="15">
    <w:name w:val="正文文本缩进 字符"/>
    <w:basedOn w:val="13"/>
    <w:link w:val="5"/>
    <w:qFormat/>
    <w:uiPriority w:val="0"/>
    <w:rPr>
      <w:rFonts w:ascii="Calibri" w:hAnsi="Calibri" w:eastAsia="宋体" w:cs="Times New Roman"/>
      <w:bCs/>
      <w:kern w:val="0"/>
      <w:sz w:val="28"/>
      <w:szCs w:val="20"/>
    </w:rPr>
  </w:style>
  <w:style w:type="paragraph" w:styleId="16">
    <w:name w:val="List Paragraph"/>
    <w:basedOn w:val="1"/>
    <w:qFormat/>
    <w:uiPriority w:val="99"/>
    <w:pPr>
      <w:ind w:firstLine="420" w:firstLineChars="200"/>
    </w:pPr>
  </w:style>
  <w:style w:type="paragraph" w:customStyle="1" w:styleId="17">
    <w:name w:val="列出段落1"/>
    <w:basedOn w:val="1"/>
    <w:qFormat/>
    <w:uiPriority w:val="99"/>
    <w:pPr>
      <w:ind w:firstLine="420" w:firstLineChars="200"/>
    </w:pPr>
    <w:rPr>
      <w:rFonts w:cs="Calibri"/>
      <w:szCs w:val="21"/>
    </w:rPr>
  </w:style>
  <w:style w:type="character" w:customStyle="1" w:styleId="18">
    <w:name w:val="批注文字 字符"/>
    <w:basedOn w:val="13"/>
    <w:link w:val="4"/>
    <w:semiHidden/>
    <w:qFormat/>
    <w:uiPriority w:val="99"/>
    <w:rPr>
      <w:rFonts w:ascii="Calibri" w:hAnsi="Calibri" w:eastAsia="宋体" w:cs="Times New Roman"/>
      <w:szCs w:val="24"/>
    </w:rPr>
  </w:style>
  <w:style w:type="character" w:customStyle="1" w:styleId="19">
    <w:name w:val="批注主题 字符"/>
    <w:basedOn w:val="18"/>
    <w:link w:val="6"/>
    <w:semiHidden/>
    <w:qFormat/>
    <w:uiPriority w:val="99"/>
    <w:rPr>
      <w:rFonts w:ascii="Calibri" w:hAnsi="Calibri" w:eastAsia="宋体" w:cs="Times New Roman"/>
      <w:b/>
      <w:bCs/>
      <w:szCs w:val="24"/>
    </w:rPr>
  </w:style>
  <w:style w:type="character" w:customStyle="1" w:styleId="20">
    <w:name w:val="批注框文本 字符"/>
    <w:basedOn w:val="13"/>
    <w:link w:val="7"/>
    <w:semiHidden/>
    <w:qFormat/>
    <w:uiPriority w:val="99"/>
    <w:rPr>
      <w:rFonts w:ascii="Calibri" w:hAnsi="Calibri" w:eastAsia="宋体" w:cs="Times New Roman"/>
      <w:sz w:val="18"/>
      <w:szCs w:val="18"/>
    </w:rPr>
  </w:style>
  <w:style w:type="character" w:customStyle="1" w:styleId="21">
    <w:name w:val="标题 2 字符"/>
    <w:basedOn w:val="13"/>
    <w:link w:val="3"/>
    <w:qFormat/>
    <w:uiPriority w:val="9"/>
    <w:rPr>
      <w:rFonts w:ascii="宋体" w:hAnsi="宋体" w:eastAsia="宋体" w:cs="宋体"/>
      <w:b/>
      <w:bCs/>
      <w:kern w:val="0"/>
      <w:sz w:val="36"/>
      <w:szCs w:val="36"/>
    </w:rPr>
  </w:style>
  <w:style w:type="character" w:customStyle="1" w:styleId="22">
    <w:name w:val="页眉 字符"/>
    <w:basedOn w:val="13"/>
    <w:link w:val="9"/>
    <w:qFormat/>
    <w:uiPriority w:val="99"/>
    <w:rPr>
      <w:rFonts w:ascii="Calibri" w:hAnsi="Calibri" w:eastAsia="宋体" w:cs="Times New Roman"/>
      <w:sz w:val="18"/>
      <w:szCs w:val="18"/>
    </w:rPr>
  </w:style>
  <w:style w:type="character" w:customStyle="1" w:styleId="23">
    <w:name w:val="页脚 字符"/>
    <w:basedOn w:val="13"/>
    <w:link w:val="8"/>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1CF9B-6375-46E2-BB41-3245B4C3A21C}">
  <ds:schemaRefs/>
</ds:datastoreItem>
</file>

<file path=docProps/app.xml><?xml version="1.0" encoding="utf-8"?>
<Properties xmlns="http://schemas.openxmlformats.org/officeDocument/2006/extended-properties" xmlns:vt="http://schemas.openxmlformats.org/officeDocument/2006/docPropsVTypes">
  <Template>Normal</Template>
  <Pages>2</Pages>
  <Words>824</Words>
  <Characters>942</Characters>
  <Lines>30</Lines>
  <Paragraphs>8</Paragraphs>
  <TotalTime>97</TotalTime>
  <ScaleCrop>false</ScaleCrop>
  <LinksUpToDate>false</LinksUpToDate>
  <CharactersWithSpaces>956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2024-03-29T03:15:00Z</dcterms:created>
  <dc:creator>Windows 用户</dc:creator>
  <cp:lastModifiedBy>小昭</cp:lastModifiedBy>
  <cp:lastPrinted>2024-09-04T06:49:23Z</cp:lastPrinted>
  <dcterms:modified xsi:type="dcterms:W3CDTF">2024-09-04T06:50:05Z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4FF86EB13D2E44DEA9E2536482CBD3EB</vt:lpwstr>
  </property>
</Properties>
</file>