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line="7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zh-CN" w:bidi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 w:bidi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zh-CN" w:bidi="zh-CN"/>
        </w:rPr>
        <w:t>年度省直党政机关办公用房维修项目规划</w:t>
      </w:r>
    </w:p>
    <w:tbl>
      <w:tblPr>
        <w:tblStyle w:val="7"/>
        <w:tblW w:w="2047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2692"/>
        <w:gridCol w:w="10427"/>
        <w:gridCol w:w="1836"/>
        <w:gridCol w:w="46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序号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申 报 单 位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申 报 项 目 和 内 容 摘 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安排资金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（万元）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  <w:t>备     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省委办公厅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大院二办、二区、四区低压配电间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；2、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bidi="zh-CN"/>
              </w:rPr>
              <w:t>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  <w:t>室外及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十号楼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室内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空调管道维修；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、办公区锅炉房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室内外整体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；4、防雷设施检测和维修。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825.08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改善条件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省政协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1、文苑综合楼外墙外窗及屋檐维修。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236.19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省科技厅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1、5-12楼供电增容及室内强电维修。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173.28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（2021年计划内未实施项目）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省财政厅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中央空调主机维修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226.16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条件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节能减排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体育局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配电间整体维修及设备维修维护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363.36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条件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6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省档案馆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zh-CN"/>
              </w:rPr>
              <w:t>办公楼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zh-CN"/>
              </w:rPr>
              <w:t>卫生间维修；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zh-CN" w:eastAsia="zh-CN" w:bidi="zh-CN"/>
              </w:rPr>
              <w:t>电梯、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监控系统维修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157.35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改善环境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功能配套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7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省高院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审判办公楼室内装饰及消防维修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；2、综合楼地下车库消防及地面维修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517.36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改善条件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8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省委统战部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、办公楼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空调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设备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203.67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节能减排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（2021年计划内未实施项目）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9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省供销合作社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1、办公区消防维修整改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161.25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恢复功能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bidi="zh-CN"/>
              </w:rPr>
              <w:t>主党派省委机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关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地下车库维修，会议中心屋面防水、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室内维修。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402.61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改善环境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11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省审计厅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办公楼室内粉刷及室外踏步下沉修复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239.17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改善环境  消除隐患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12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省残联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1、办公楼外墙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、外窗及电梯维修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；2、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zh-CN"/>
              </w:rPr>
              <w:t>办公楼室内吊顶更换和室内粉刷等维修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458.20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节能减排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功能配套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13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文旅厅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1、省文物局办公楼室内外整体维修，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配电设备和配电房维修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409.04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14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省信访局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1、人民来访接待室室内维修和外墙整体维修。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621.18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15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省妇联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办公楼电梯维修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；2、室内公共部位维修、办公室门更换和空调管网维修。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307.11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节能减排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16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省农业农村厅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1、省畜牧水产事务中心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办公楼室内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325.23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 节能减排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17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团省委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1、院内给水、排水维修改造、路面局部维修等。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420.76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消除隐患  恢复功能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18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  <w:t>省乡村振兴局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  <w:t>1、消防通道维修。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120.00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恢复功能  消除隐患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19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省机关事务管理局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1、省直党政机关公物仓维修。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105.00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  <w:t>完善服务功能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20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项目管理费</w:t>
            </w:r>
          </w:p>
        </w:tc>
        <w:tc>
          <w:tcPr>
            <w:tcW w:w="10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128.00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按年度安排金额2%计取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</w:p>
        </w:tc>
        <w:tc>
          <w:tcPr>
            <w:tcW w:w="10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年规划安排资金合计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6400.00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23811" w:h="16838" w:orient="landscape"/>
          <w:pgMar w:top="1134" w:right="1134" w:bottom="1134" w:left="1417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8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8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44"/>
          <w:szCs w:val="44"/>
          <w:highlight w:val="none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zh-CN" w:bidi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bidi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 w:bidi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zh-CN" w:bidi="zh-CN"/>
        </w:rPr>
        <w:t>年度省直党政机关办公用房维修项目规划</w:t>
      </w:r>
    </w:p>
    <w:tbl>
      <w:tblPr>
        <w:tblStyle w:val="7"/>
        <w:tblW w:w="2059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311"/>
        <w:gridCol w:w="10722"/>
        <w:gridCol w:w="1952"/>
        <w:gridCol w:w="47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序号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申报单位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申报项目和内容摘要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安排资金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（万元）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省人大办公厅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综合办公楼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室内外整体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906.58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改善条件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恢复功能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省政府办公厅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1、围墙及四个门岗维修；2、人民会堂消防系统整体维修；3、信访楼及车队外墙维修；4、武警营房外墙维修；5、二办公楼外墙维修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515.21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改善条件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恢复功能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省政协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1、办公楼外墙、外窗维修改造及部分室内维修。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558.78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政法委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1、三办公楼电梯维修、室内暖通管道和卫生间维修。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275.23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恢复功能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省委老干局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1、东海楼外墙及5-6层外窗维修，门厅及5-6层卫生间维修。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154.95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6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省委党校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岳麓校区东区食堂（品香居）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维修；2、岳麓校区大礼堂维修。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435.97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7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省公安厅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1、二办公楼电梯更换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；2、十六栋五楼会议中心维修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3、配电间气体灭火系统维修。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494.74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省水利厅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1、办公楼变压器、配电柜维修，外墙维修。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503.76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9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省体育局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办公楼外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及会议室维修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295.94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消除隐患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接待办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办公楼一层大厅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、空调、消防、监控系统等维修；2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、办公楼外墙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和外窗维修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810.87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11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民主党派省委机关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1、办公楼外墙、屋顶及电梯维修；2、办公附属楼室内外整体维修。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374.46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改善条件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省库区移民事务中心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1、外墙外窗整体维修及4-9层室内门更换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223.33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改善条件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13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省人民检察院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西院办公楼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办公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室门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维修；2、东院监控系统维修。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371.06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改善条件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14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省军民融合办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1、办公楼给水管网维修及空调主机维修。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351.12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项目管理费</w:t>
            </w:r>
          </w:p>
        </w:tc>
        <w:tc>
          <w:tcPr>
            <w:tcW w:w="10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128.00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按年度安排金额2%计取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  <w:tc>
          <w:tcPr>
            <w:tcW w:w="1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年规划安排资金合计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6400.00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kern w:val="0"/>
          <w:sz w:val="22"/>
          <w:szCs w:val="22"/>
          <w:lang w:val="zh-CN" w:bidi="zh-CN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kern w:val="0"/>
          <w:sz w:val="22"/>
          <w:szCs w:val="22"/>
          <w:lang w:val="zh-CN" w:bidi="zh-CN"/>
        </w:rPr>
      </w:pPr>
    </w:p>
    <w:p>
      <w:pPr>
        <w:rPr>
          <w:rFonts w:hint="eastAsia"/>
        </w:rPr>
        <w:sectPr>
          <w:pgSz w:w="23811" w:h="16838" w:orient="landscape"/>
          <w:pgMar w:top="1134" w:right="1134" w:bottom="1134" w:left="1417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sectPr>
          <w:pgSz w:w="23811" w:h="16838" w:orient="landscape"/>
          <w:pgMar w:top="1134" w:right="1134" w:bottom="1134" w:left="1417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docGrid w:type="lines" w:linePitch="323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zh-CN" w:bidi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bidi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en-US" w:eastAsia="zh-CN" w:bidi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highlight w:val="none"/>
          <w:lang w:val="zh-CN" w:bidi="zh-CN"/>
        </w:rPr>
        <w:t>年度省直党政机关办公用房维修项目规划</w:t>
      </w:r>
    </w:p>
    <w:tbl>
      <w:tblPr>
        <w:tblStyle w:val="7"/>
        <w:tblW w:w="205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521"/>
        <w:gridCol w:w="10512"/>
        <w:gridCol w:w="1952"/>
        <w:gridCol w:w="47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序号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申报单位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申报项目和内容摘要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安排资金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（万元）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委办公厅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  <w:t>、省委机关大院办公用房（动力科房、车队综合楼等）外墙及外窗维修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539.51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消除隐患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省委党校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岳麓校区职工食堂(湘麓轩）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524.5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省公安厅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一办公楼三楼视频会议室维修。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269.47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省财政厅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1、办公楼电梯维修。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83.72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省水利厅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综合楼四楼会务中心维修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186.9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省住建厅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室外道路及污水管道维修。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342.58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配套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省农业农村厅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一办公楼维修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；2、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垃圾站维修；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、大院东面围墙及南面门楼维修。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458.56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省监狱管理局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配电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供水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和空调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设备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544.16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节能减排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条件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恢复功能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9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省卫健委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1、综合楼空调管网改造及屋面防水维修；2、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zh-CN"/>
              </w:rPr>
              <w:t>空调主机维修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447.77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10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团省委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1、办公楼消防、暖通维修及屋面防水维修。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317.56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消除隐患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省社科联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办公楼外墙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和外窗整体维修。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195.55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消除隐患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省教育厅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更换中央主机维修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；2、办公楼室内维修；3、办公楼楼道消防管网维修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574.33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节能减排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13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bidi="zh-CN"/>
              </w:rPr>
              <w:t>省科协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1、办公楼电梯维修等内容。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89.97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14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省司法厅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室内消防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空调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管网维修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536.85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改善条件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恢复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节能减排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5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省商务厅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29" w:leftChars="109" w:firstLine="0" w:firstLine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1、2号办公楼室内整体维修；2、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2号办公楼外墙和外窗维修改造及电梯更换；3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3号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办公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楼室内外整体维修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1022.06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消除隐患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改善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 xml:space="preserve"> 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16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  <w:t>省作协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zh-CN"/>
              </w:rPr>
              <w:t>1、办公楼外墙、外窗及院内排水管网维修。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138.51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恢复功能  消除隐患  功能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配套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17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项目管理费</w:t>
            </w:r>
          </w:p>
        </w:tc>
        <w:tc>
          <w:tcPr>
            <w:tcW w:w="10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128.00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120" w:firstLine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 xml:space="preserve"> 按年度安排金额2%计取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  <w:tc>
          <w:tcPr>
            <w:tcW w:w="1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bidi="zh-CN"/>
              </w:rPr>
              <w:t>年规划安排资金合计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zh-CN"/>
              </w:rPr>
              <w:t>6400.00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3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both"/>
        <w:textAlignment w:val="auto"/>
        <w:rPr>
          <w:rFonts w:ascii="仿宋" w:hAnsi="仿宋" w:eastAsia="仿宋" w:cs="仿宋"/>
          <w:kern w:val="0"/>
          <w:sz w:val="48"/>
          <w:szCs w:val="48"/>
          <w:highlight w:val="none"/>
          <w:lang w:val="en-US" w:bidi="zh-CN"/>
        </w:rPr>
      </w:pPr>
    </w:p>
    <w:p>
      <w:pPr>
        <w:pStyle w:val="2"/>
        <w:rPr>
          <w:rFonts w:hint="eastAsia"/>
          <w:lang w:eastAsia="zh-CN"/>
        </w:rPr>
      </w:pPr>
    </w:p>
    <w:sectPr>
      <w:headerReference r:id="rId5" w:type="default"/>
      <w:type w:val="continuous"/>
      <w:pgSz w:w="23811" w:h="16838" w:orient="landscape"/>
      <w:pgMar w:top="1417" w:right="1134" w:bottom="1134" w:left="1417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986790</wp:posOffset>
              </wp:positionV>
              <wp:extent cx="5739130" cy="249555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913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19.95pt;margin-top:77.7pt;height:19.65pt;width:451.9pt;mso-position-horizontal-relative:page;mso-position-vertical-relative:page;z-index:-251657216;mso-width-relative:page;mso-height-relative:page;" filled="f" stroked="f" coordsize="21600,21600" o:gfxdata="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EORR0&#10;2wAAAAwBAAAPAAAAAAAAAAEAIAAAACIAAABkcnMvZG93bnJldi54bWxQSwECFAAUAAAACACHTuJA&#10;PbZlkqwBAAA7AwAADgAAAAAAAAABACAAAAAq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line="14" w:lineRule="auto"/>
      <w:rPr>
        <w:rFonts w:ascii="宋体" w:hAnsi="宋体" w:eastAsia="宋体" w:cs="宋体"/>
        <w:sz w:val="20"/>
        <w:szCs w:val="35"/>
        <w:lang w:val="zh-CN" w:eastAsia="zh-CN" w:bidi="zh-CN"/>
      </w:rPr>
    </w:pPr>
    <w:r>
      <w:rPr>
        <w:rFonts w:ascii="宋体" w:hAnsi="宋体" w:eastAsia="宋体" w:cs="宋体"/>
        <w:sz w:val="35"/>
        <w:szCs w:val="35"/>
        <w:lang w:val="zh-CN" w:eastAsia="zh-CN" w:bidi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986790</wp:posOffset>
              </wp:positionV>
              <wp:extent cx="5739130" cy="249555"/>
              <wp:effectExtent l="0" t="0" r="0" b="0"/>
              <wp:wrapNone/>
              <wp:docPr id="1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913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line="360" w:lineRule="auto"/>
                            <w:jc w:val="left"/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19.95pt;margin-top:77.7pt;height:19.65pt;width:451.9pt;mso-position-horizontal-relative:page;mso-position-vertical-relative:page;z-index:-251655168;mso-width-relative:page;mso-height-relative:page;" filled="f" stroked="f" coordsize="21600,21600" o:gfxdata="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DkU&#10;dNsAAAAMAQAADwAAAAAAAAABACAAAAAiAAAAZHJzL2Rvd25yZXYueG1sUEsBAhQAFAAAAAgAh07i&#10;QKbZqiutAQAAPAMAAA4AAAAAAAAAAQAgAAAAK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line="360" w:lineRule="auto"/>
                      <w:jc w:val="left"/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C5C40"/>
    <w:rsid w:val="10856D75"/>
    <w:rsid w:val="15E8515E"/>
    <w:rsid w:val="169F4006"/>
    <w:rsid w:val="19EB03D5"/>
    <w:rsid w:val="1A616181"/>
    <w:rsid w:val="1EC54817"/>
    <w:rsid w:val="34D60683"/>
    <w:rsid w:val="3EEC643A"/>
    <w:rsid w:val="41085E7F"/>
    <w:rsid w:val="43C23925"/>
    <w:rsid w:val="45155402"/>
    <w:rsid w:val="462504B6"/>
    <w:rsid w:val="47E15D14"/>
    <w:rsid w:val="489F666E"/>
    <w:rsid w:val="4AED58D5"/>
    <w:rsid w:val="4D72405C"/>
    <w:rsid w:val="4E74432D"/>
    <w:rsid w:val="50C95123"/>
    <w:rsid w:val="57CF6B01"/>
    <w:rsid w:val="59293402"/>
    <w:rsid w:val="5AB4342F"/>
    <w:rsid w:val="5E2E5A28"/>
    <w:rsid w:val="60D06828"/>
    <w:rsid w:val="6134075F"/>
    <w:rsid w:val="61854664"/>
    <w:rsid w:val="659C5262"/>
    <w:rsid w:val="661314C8"/>
    <w:rsid w:val="6A7E1DA9"/>
    <w:rsid w:val="722A7A92"/>
    <w:rsid w:val="771C7D43"/>
    <w:rsid w:val="7BD226D0"/>
    <w:rsid w:val="7C7F4DB5"/>
    <w:rsid w:val="7CE91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sz w:val="35"/>
      <w:szCs w:val="35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表段落1"/>
    <w:basedOn w:val="1"/>
    <w:qFormat/>
    <w:uiPriority w:val="34"/>
  </w:style>
  <w:style w:type="paragraph" w:customStyle="1" w:styleId="11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局文印室</cp:lastModifiedBy>
  <cp:lastPrinted>2021-11-11T08:50:00Z</cp:lastPrinted>
  <dcterms:modified xsi:type="dcterms:W3CDTF">2021-11-23T08:16:52Z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