
<file path=[Content_Types].xml><?xml version="1.0" encoding="utf-8"?>
<Types xmlns="http://schemas.openxmlformats.org/package/2006/content-types">
  <Default Extension="xml" ContentType="application/xml"/>
  <Default Extension="emf" ContentType="image/x-emf"/>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eastAsia="黑体"/>
                <w:sz w:val="21"/>
                <w:szCs w:val="21"/>
              </w:rPr>
              <w:t>ICS</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eastAsia="黑体"/>
                <w:sz w:val="21"/>
                <w:szCs w:val="21"/>
              </w:rPr>
              <w:t xml:space="preserve">CCS </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 xml:space="preserve">  </w:t>
            </w:r>
            <w:r>
              <w:rPr>
                <w:rFonts w:ascii="黑体" w:hAnsi="黑体" w:eastAsia="黑体"/>
                <w:sz w:val="21"/>
                <w:szCs w:val="21"/>
              </w:rPr>
              <w:fldChar w:fldCharType="end"/>
            </w:r>
            <w:bookmarkEnd w:id="1"/>
          </w:p>
        </w:tc>
      </w:tr>
    </w:tbl>
    <w:tbl>
      <w:tblPr>
        <w:tblStyle w:val="29"/>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53"/>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15" cstate="print">
                            <a:extLst>
                              <a:ext uri="{28A0092B-C50C-407E-A947-70E740481C1C}">
                                <a14:useLocalDpi xmlns:a14="http://schemas.microsoft.com/office/drawing/2010/main" val="false"/>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43</w:t>
            </w:r>
            <w:r>
              <w:fldChar w:fldCharType="end"/>
            </w:r>
            <w:bookmarkEnd w:id="3"/>
          </w:p>
        </w:tc>
      </w:tr>
    </w:tbl>
    <w:p>
      <w:pPr>
        <w:pStyle w:val="54"/>
        <w:framePr w:w="9639" w:h="624" w:hRule="exact" w:hSpace="181" w:vSpace="181" w:hAnchor="page" w:x="1305" w:y="2269"/>
        <w:rPr>
          <w:rFonts w:hint="eastAsia" w:ascii="黑体" w:hAnsi="黑体" w:eastAsia="黑体"/>
          <w:b w:val="0"/>
          <w:bCs w:val="0"/>
          <w:w w:val="100"/>
          <w:sz w:val="48"/>
          <w:szCs w:val="48"/>
        </w:rPr>
      </w:pPr>
      <w:r>
        <w:rPr>
          <w:rFonts w:hint="eastAsia" w:ascii="黑体" w:eastAsia="黑体"/>
          <w:b w:val="0"/>
          <w:w w:val="100"/>
          <w:sz w:val="48"/>
        </w:rPr>
        <w:t>湖南</w:t>
      </w:r>
      <w:r>
        <w:rPr>
          <w:rFonts w:hint="eastAsia" w:ascii="黑体" w:hAnsi="黑体" w:eastAsia="黑体"/>
          <w:b w:val="0"/>
          <w:bCs w:val="0"/>
          <w:w w:val="100"/>
          <w:sz w:val="48"/>
          <w:szCs w:val="48"/>
        </w:rPr>
        <w:t>地方标准</w:t>
      </w:r>
    </w:p>
    <w:bookmarkEnd w:id="2"/>
    <w:p>
      <w:pPr>
        <w:pStyle w:val="199"/>
        <w:rPr>
          <w:lang w:val="fr-FR"/>
        </w:rPr>
      </w:pPr>
      <w:r>
        <w:rPr>
          <w:rFonts w:ascii="Times New Roman"/>
          <w:lang w:val="fr-FR"/>
        </w:rPr>
        <w:t>DB</w:t>
      </w:r>
      <w:r>
        <w:fldChar w:fldCharType="begin">
          <w:ffData>
            <w:name w:val="文字1"/>
            <w:enabled/>
            <w:calcOnExit w:val="0"/>
            <w:textInput>
              <w:default w:val="XX/T"/>
            </w:textInput>
          </w:ffData>
        </w:fldChar>
      </w:r>
      <w:bookmarkStart w:id="4" w:name="文字1"/>
      <w:r>
        <w:rPr>
          <w:lang w:val="fr-FR"/>
        </w:rPr>
        <w:instrText xml:space="preserve"> FORMTEXT </w:instrText>
      </w:r>
      <w:r>
        <w:fldChar w:fldCharType="separate"/>
      </w:r>
      <w:r>
        <w:rPr>
          <w:rFonts w:hint="eastAsia"/>
        </w:rPr>
        <w:t>43</w:t>
      </w:r>
      <w:r>
        <w:rPr>
          <w:lang w:val="fr-FR"/>
        </w:rPr>
        <w:t>/T</w:t>
      </w:r>
      <w:r>
        <w:fldChar w:fldCharType="end"/>
      </w:r>
      <w:bookmarkEnd w:id="4"/>
      <w:r>
        <w:rPr>
          <w:lang w:val="fr-FR"/>
        </w:rPr>
        <w:t xml:space="preserve"> </w:t>
      </w:r>
      <w:r>
        <w:fldChar w:fldCharType="begin">
          <w:ffData>
            <w:name w:val="NSTD_CODE_F"/>
            <w:enabled/>
            <w:calcOnExit w:val="0"/>
            <w:textInput>
              <w:default w:val="XXXX"/>
            </w:textInput>
          </w:ffData>
        </w:fldChar>
      </w:r>
      <w:bookmarkStart w:id="5" w:name="NSTD_CODE_F"/>
      <w:r>
        <w:rPr>
          <w:lang w:val="fr-FR"/>
        </w:rPr>
        <w:instrText xml:space="preserve"> FORMTEXT </w:instrText>
      </w:r>
      <w:r>
        <w:fldChar w:fldCharType="separate"/>
      </w:r>
      <w:r>
        <w:rPr>
          <w:lang w:val="fr-FR"/>
        </w:rPr>
        <w:t>XXXX</w:t>
      </w:r>
      <w:r>
        <w:fldChar w:fldCharType="end"/>
      </w:r>
      <w:bookmarkEnd w:id="5"/>
      <w:r>
        <w:rPr>
          <w:rFonts w:hAnsi="黑体"/>
          <w:lang w:val="fr-FR"/>
        </w:rPr>
        <w:t>—</w:t>
      </w:r>
      <w:r>
        <w:fldChar w:fldCharType="begin">
          <w:ffData>
            <w:name w:val="NSTD_CODE_B"/>
            <w:enabled/>
            <w:calcOnExit w:val="0"/>
            <w:textInput>
              <w:default w:val="XXXX"/>
            </w:textInput>
          </w:ffData>
        </w:fldChar>
      </w:r>
      <w:bookmarkStart w:id="6" w:name="NSTD_CODE_B"/>
      <w:r>
        <w:rPr>
          <w:lang w:val="fr-FR"/>
        </w:rPr>
        <w:instrText xml:space="preserve"> FORMTEXT </w:instrText>
      </w:r>
      <w:r>
        <w:fldChar w:fldCharType="separate"/>
      </w:r>
      <w:r>
        <w:rPr>
          <w:lang w:val="fr-FR"/>
        </w:rPr>
        <w:t>XXXX</w:t>
      </w:r>
      <w:r>
        <w:fldChar w:fldCharType="end"/>
      </w:r>
      <w:bookmarkEnd w:id="6"/>
    </w:p>
    <w:p>
      <w:pPr>
        <w:pStyle w:val="200"/>
        <w:rPr>
          <w:rFonts w:hint="eastAsia" w:hAnsi="黑体"/>
        </w:rPr>
      </w:pPr>
      <w:r>
        <w:rPr>
          <w:rFonts w:hAnsi="黑体"/>
        </w:rPr>
        <w:fldChar w:fldCharType="begin">
          <w:ffData>
            <w:name w:val="OSTD_CODE"/>
            <w:enabled/>
            <w:calcOnExit w:val="0"/>
            <w:textInput/>
          </w:ffData>
        </w:fldChar>
      </w:r>
      <w:bookmarkStart w:id="7"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7"/>
    </w:p>
    <w:p>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54"/>
        <w:framePr w:w="9639" w:h="6976" w:hRule="exact" w:hSpace="0" w:vSpace="0" w:hAnchor="page" w:y="6408"/>
        <w:jc w:val="center"/>
        <w:rPr>
          <w:rFonts w:hint="eastAsia" w:ascii="黑体" w:hAnsi="黑体" w:eastAsia="黑体"/>
          <w:b w:val="0"/>
          <w:bCs w:val="0"/>
          <w:w w:val="100"/>
        </w:rPr>
      </w:pPr>
    </w:p>
    <w:p>
      <w:pPr>
        <w:pStyle w:val="201"/>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8" w:name="CSTD_NAME"/>
      <w:r>
        <w:instrText xml:space="preserve"> FORMTEXT </w:instrText>
      </w:r>
      <w:r>
        <w:fldChar w:fldCharType="separate"/>
      </w:r>
      <w:r>
        <w:rPr>
          <w:rFonts w:hint="eastAsia"/>
        </w:rPr>
        <w:t>省直机关办公用房维修技术和管理规范</w:t>
      </w:r>
      <w:r>
        <w:fldChar w:fldCharType="end"/>
      </w:r>
      <w:bookmarkEnd w:id="8"/>
    </w:p>
    <w:p>
      <w:pPr>
        <w:framePr w:w="9639" w:h="6974" w:hRule="exact" w:wrap="around" w:vAnchor="page" w:hAnchor="page" w:x="1419" w:y="6408" w:anchorLock="1"/>
        <w:ind w:left="-1418"/>
      </w:pPr>
    </w:p>
    <w:p>
      <w:pPr>
        <w:pStyle w:val="129"/>
        <w:framePr w:w="9639" w:h="6974" w:hRule="exact" w:wrap="around" w:vAnchor="page" w:hAnchor="page" w:x="1419" w:y="6408" w:anchorLock="1"/>
        <w:textAlignment w:val="bottom"/>
        <w:rPr>
          <w:rFonts w:eastAsia="黑体"/>
          <w:szCs w:val="28"/>
        </w:rPr>
      </w:pPr>
      <w:r>
        <w:rPr>
          <w:rFonts w:hint="eastAsia" w:eastAsia="黑体"/>
          <w:szCs w:val="28"/>
        </w:rPr>
        <w:t>Specifications of technical and management for office building maintenance in provincial government agencies</w:t>
      </w:r>
    </w:p>
    <w:p>
      <w:pPr>
        <w:framePr w:w="9639" w:h="6974" w:hRule="exact" w:wrap="around" w:vAnchor="page" w:hAnchor="page" w:x="1419" w:y="6408" w:anchorLock="1"/>
        <w:spacing w:line="760" w:lineRule="exact"/>
        <w:ind w:left="-1418"/>
      </w:pPr>
    </w:p>
    <w:p>
      <w:pPr>
        <w:pStyle w:val="129"/>
        <w:framePr w:w="9639" w:h="6974" w:hRule="exact" w:wrap="around" w:vAnchor="page" w:hAnchor="page" w:x="1419" w:y="6408" w:anchorLock="1"/>
        <w:textAlignment w:val="bottom"/>
        <w:rPr>
          <w:rFonts w:eastAsia="黑体"/>
          <w:szCs w:val="28"/>
        </w:rPr>
      </w:pPr>
    </w:p>
    <w:p>
      <w:pPr>
        <w:pStyle w:val="129"/>
        <w:framePr w:w="9639" w:h="6974" w:hRule="exact" w:wrap="around" w:vAnchor="page" w:hAnchor="page" w:x="1419" w:y="6408" w:anchorLock="1"/>
        <w:spacing w:before="440" w:after="160"/>
        <w:textAlignment w:val="bottom"/>
        <w:rPr>
          <w:sz w:val="24"/>
          <w:szCs w:val="28"/>
        </w:rPr>
      </w:pPr>
      <w:r>
        <w:rPr>
          <w:rFonts w:hint="eastAsia"/>
          <w:sz w:val="24"/>
          <w:szCs w:val="28"/>
        </w:rPr>
        <w:t>（征求意见稿）</w:t>
      </w:r>
    </w:p>
    <w:p>
      <w:pPr>
        <w:pStyle w:val="129"/>
        <w:framePr w:w="9639" w:h="6974" w:hRule="exact" w:wrap="around" w:vAnchor="page" w:hAnchor="page" w:x="1419" w:y="6408" w:anchorLock="1"/>
        <w:spacing w:before="180" w:line="240" w:lineRule="atLeast"/>
        <w:textAlignment w:val="bottom"/>
        <w:rPr>
          <w:sz w:val="21"/>
          <w:szCs w:val="28"/>
        </w:rPr>
      </w:pPr>
    </w:p>
    <w:p>
      <w:pPr>
        <w:pStyle w:val="129"/>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9" w:name="下拉2"/>
      <w:r>
        <w:rPr>
          <w:b/>
          <w:sz w:val="21"/>
          <w:szCs w:val="28"/>
        </w:rPr>
        <w:instrText xml:space="preserve"> FORMDROPDOWN </w:instrText>
      </w:r>
      <w:r>
        <w:rPr>
          <w:b/>
          <w:sz w:val="21"/>
          <w:szCs w:val="28"/>
        </w:rPr>
        <w:fldChar w:fldCharType="separate"/>
      </w:r>
      <w:r>
        <w:rPr>
          <w:b/>
          <w:sz w:val="21"/>
          <w:szCs w:val="28"/>
        </w:rPr>
        <w:fldChar w:fldCharType="end"/>
      </w:r>
      <w:bookmarkEnd w:id="9"/>
    </w:p>
    <w:p>
      <w:pPr>
        <w:pStyle w:val="197"/>
        <w:framePr w:y="14176"/>
      </w:pPr>
      <w:r>
        <w:rPr>
          <w:rFonts w:ascii="黑体"/>
        </w:rPr>
        <w:fldChar w:fldCharType="begin">
          <w:ffData>
            <w:name w:val="PLSH_DATE_Y"/>
            <w:enabled/>
            <w:calcOnExit w:val="0"/>
            <w:textInput>
              <w:default w:val="XXXX"/>
              <w:maxLength w:val="4"/>
            </w:textInput>
          </w:ffData>
        </w:fldChar>
      </w:r>
      <w:bookmarkStart w:id="10"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0"/>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1"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2"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2"/>
      <w:r>
        <w:rPr>
          <w:rFonts w:hint="eastAsia"/>
        </w:rPr>
        <w:t>发布</w:t>
      </w:r>
    </w:p>
    <w:p>
      <w:pPr>
        <w:pStyle w:val="198"/>
        <w:framePr w:y="14176"/>
      </w:pPr>
      <w:r>
        <w:rPr>
          <w:rFonts w:ascii="黑体"/>
        </w:rPr>
        <w:fldChar w:fldCharType="begin">
          <w:ffData>
            <w:name w:val="CROT_DATE_Y"/>
            <w:enabled/>
            <w:calcOnExit w:val="0"/>
            <w:textInput>
              <w:default w:val="XXXX"/>
              <w:maxLength w:val="4"/>
            </w:textInput>
          </w:ffData>
        </w:fldChar>
      </w:r>
      <w:bookmarkStart w:id="13"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4"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5"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实施</w:t>
      </w:r>
    </w:p>
    <w:p>
      <w:pPr>
        <w:pStyle w:val="155"/>
        <w:framePr w:h="584" w:hRule="exact" w:hSpace="181" w:vSpace="181" w:y="15027"/>
        <w:rPr>
          <w:rFonts w:hint="eastAsia" w:hAnsi="黑体"/>
        </w:rPr>
      </w:pPr>
      <w:r>
        <w:rPr>
          <w:rFonts w:hint="eastAsia" w:ascii="Times New Roman"/>
          <w:w w:val="100"/>
          <w:sz w:val="28"/>
        </w:rPr>
        <w:t>湖南省市场监督管理局</w:t>
      </w:r>
      <w:r>
        <w:rPr>
          <w:rFonts w:ascii="Times New Roman"/>
          <w:w w:val="100"/>
          <w:sz w:val="28"/>
        </w:rPr>
        <w:t> </w:t>
      </w:r>
      <w:r>
        <w:rPr>
          <w:rStyle w:val="233"/>
          <w:rFonts w:hint="eastAsia" w:hAnsi="黑体"/>
          <w:position w:val="0"/>
        </w:rPr>
        <w:t>发</w:t>
      </w:r>
      <w:r>
        <w:rPr>
          <w:rStyle w:val="233"/>
          <w:rFonts w:hint="eastAsia" w:hAnsi="黑体"/>
          <w:spacing w:val="0"/>
          <w:position w:val="0"/>
        </w:rPr>
        <w:t>布</w:t>
      </w:r>
    </w:p>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pStyle w:val="95"/>
        <w:spacing w:after="468"/>
        <w:rPr>
          <w:rFonts w:hint="eastAsia"/>
        </w:rPr>
      </w:pPr>
      <w:bookmarkStart w:id="16" w:name="BookMark1"/>
      <w:bookmarkStart w:id="17" w:name="_Toc29245"/>
      <w:r>
        <w:rPr>
          <w:rFonts w:hint="eastAsia"/>
          <w:spacing w:val="320"/>
        </w:rPr>
        <w:t>目</w:t>
      </w:r>
      <w:r>
        <w:rPr>
          <w:rFonts w:hint="eastAsia"/>
        </w:rPr>
        <w:t>次</w:t>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"_Toc241610289" </w:instrText>
      </w:r>
      <w:r>
        <w:fldChar w:fldCharType="separate"/>
      </w:r>
      <w:r>
        <w:rPr>
          <w:rStyle w:val="34"/>
          <w:rFonts w:hint="eastAsia"/>
        </w:rPr>
        <w:t>1</w:t>
      </w:r>
      <w:r>
        <w:rPr>
          <w:rStyle w:val="34"/>
        </w:rPr>
        <w:t xml:space="preserve"> </w:t>
      </w:r>
      <w:r>
        <w:rPr>
          <w:rStyle w:val="34"/>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_Toc241610289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"_Toc241610290" </w:instrText>
      </w:r>
      <w:r>
        <w:fldChar w:fldCharType="separate"/>
      </w:r>
      <w:r>
        <w:rPr>
          <w:rStyle w:val="34"/>
          <w:rFonts w:hint="eastAsia"/>
        </w:rPr>
        <w:t>2</w:t>
      </w:r>
      <w:r>
        <w:rPr>
          <w:rStyle w:val="34"/>
        </w:rPr>
        <w:t xml:space="preserve"> </w:t>
      </w:r>
      <w:r>
        <w:rPr>
          <w:rStyle w:val="34"/>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_Toc241610290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"_Toc241610291" </w:instrText>
      </w:r>
      <w:r>
        <w:fldChar w:fldCharType="separate"/>
      </w:r>
      <w:r>
        <w:rPr>
          <w:rStyle w:val="34"/>
          <w:rFonts w:hint="eastAsia"/>
        </w:rPr>
        <w:t>3</w:t>
      </w:r>
      <w:r>
        <w:rPr>
          <w:rStyle w:val="34"/>
        </w:rPr>
        <w:t xml:space="preserve"> </w:t>
      </w:r>
      <w:r>
        <w:rPr>
          <w:rStyle w:val="34"/>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_Toc241610291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"_Toc241610292" </w:instrText>
      </w:r>
      <w:r>
        <w:fldChar w:fldCharType="separate"/>
      </w:r>
      <w:r>
        <w:rPr>
          <w:rStyle w:val="34"/>
          <w:rFonts w:hint="eastAsia"/>
        </w:rPr>
        <w:t>4</w:t>
      </w:r>
      <w:r>
        <w:rPr>
          <w:rStyle w:val="34"/>
        </w:rPr>
        <w:t xml:space="preserve"> </w:t>
      </w:r>
      <w:r>
        <w:rPr>
          <w:rStyle w:val="34"/>
          <w:rFonts w:hint="eastAsia"/>
        </w:rPr>
        <w:t xml:space="preserve"> 总体要求</w:t>
      </w:r>
      <w:r>
        <w:rPr>
          <w:rFonts w:hint="eastAsia"/>
        </w:rPr>
        <w:tab/>
      </w:r>
      <w:r>
        <w:rPr>
          <w:rFonts w:hint="eastAsia"/>
        </w:rPr>
        <w:fldChar w:fldCharType="begin"/>
      </w:r>
      <w:r>
        <w:rPr>
          <w:rFonts w:hint="eastAsia"/>
        </w:rPr>
        <w:instrText xml:space="preserve"> </w:instrText>
      </w:r>
      <w:r>
        <w:instrText xml:space="preserve">PAGEREF _Toc241610292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"_Toc241610293" </w:instrText>
      </w:r>
      <w:r>
        <w:fldChar w:fldCharType="separate"/>
      </w:r>
      <w:r>
        <w:rPr>
          <w:rStyle w:val="34"/>
          <w:rFonts w:hint="eastAsia"/>
        </w:rPr>
        <w:t>5</w:t>
      </w:r>
      <w:r>
        <w:rPr>
          <w:rStyle w:val="34"/>
        </w:rPr>
        <w:t xml:space="preserve"> </w:t>
      </w:r>
      <w:r>
        <w:rPr>
          <w:rStyle w:val="34"/>
          <w:rFonts w:hint="eastAsia"/>
        </w:rPr>
        <w:t xml:space="preserve"> 管理职责</w:t>
      </w:r>
      <w:r>
        <w:rPr>
          <w:rFonts w:hint="eastAsia"/>
        </w:rPr>
        <w:tab/>
      </w:r>
      <w:r>
        <w:rPr>
          <w:rFonts w:hint="eastAsia"/>
        </w:rPr>
        <w:fldChar w:fldCharType="begin"/>
      </w:r>
      <w:r>
        <w:rPr>
          <w:rFonts w:hint="eastAsia"/>
        </w:rPr>
        <w:instrText xml:space="preserve"> </w:instrText>
      </w:r>
      <w:r>
        <w:instrText xml:space="preserve">PAGEREF _Toc241610293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"_Toc241610294" </w:instrText>
      </w:r>
      <w:r>
        <w:fldChar w:fldCharType="separate"/>
      </w:r>
      <w:r>
        <w:rPr>
          <w:rStyle w:val="34"/>
          <w:rFonts w:hint="eastAsia"/>
        </w:rPr>
        <w:t>6</w:t>
      </w:r>
      <w:r>
        <w:rPr>
          <w:rStyle w:val="34"/>
        </w:rPr>
        <w:t xml:space="preserve"> </w:t>
      </w:r>
      <w:r>
        <w:rPr>
          <w:rStyle w:val="34"/>
          <w:rFonts w:hint="eastAsia"/>
        </w:rPr>
        <w:t xml:space="preserve"> 维修分类与判定</w:t>
      </w:r>
      <w:r>
        <w:rPr>
          <w:rFonts w:hint="eastAsia"/>
        </w:rPr>
        <w:tab/>
      </w:r>
      <w:r>
        <w:rPr>
          <w:rFonts w:hint="eastAsia"/>
        </w:rPr>
        <w:fldChar w:fldCharType="begin"/>
      </w:r>
      <w:r>
        <w:rPr>
          <w:rFonts w:hint="eastAsia"/>
        </w:rPr>
        <w:instrText xml:space="preserve"> </w:instrText>
      </w:r>
      <w:r>
        <w:instrText xml:space="preserve">PAGEREF _Toc241610294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"_Toc241610295" </w:instrText>
      </w:r>
      <w:r>
        <w:fldChar w:fldCharType="separate"/>
      </w:r>
      <w:r>
        <w:rPr>
          <w:rStyle w:val="34"/>
          <w:rFonts w:hint="eastAsia"/>
          <w14:scene3d>
            <w14:lightRig w14:rig="threePt" w14:dir="t">
              <w14:rot w14:lat="0" w14:lon="0" w14:rev="0"/>
            </w14:lightRig>
          </w14:scene3d>
        </w:rPr>
        <w:t>6.1</w:t>
      </w:r>
      <w:r>
        <w:rPr>
          <w:rStyle w:val="34"/>
          <w14:scene3d>
            <w14:lightRig w14:rig="threePt" w14:dir="t">
              <w14:rot w14:lat="0" w14:lon="0" w14:rev="0"/>
            </w14:lightRig>
          </w14:scene3d>
        </w:rPr>
        <w:t xml:space="preserve"> </w:t>
      </w:r>
      <w:r>
        <w:rPr>
          <w:rStyle w:val="34"/>
          <w:rFonts w:hint="eastAsia"/>
        </w:rPr>
        <w:t xml:space="preserve"> 维修分类</w:t>
      </w:r>
      <w:r>
        <w:rPr>
          <w:rFonts w:hint="eastAsia"/>
        </w:rPr>
        <w:tab/>
      </w:r>
      <w:r>
        <w:rPr>
          <w:rFonts w:hint="eastAsia"/>
        </w:rPr>
        <w:fldChar w:fldCharType="begin"/>
      </w:r>
      <w:r>
        <w:rPr>
          <w:rFonts w:hint="eastAsia"/>
        </w:rPr>
        <w:instrText xml:space="preserve"> </w:instrText>
      </w:r>
      <w:r>
        <w:instrText xml:space="preserve">PAGEREF _Toc241610295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"_Toc241610296" </w:instrText>
      </w:r>
      <w:r>
        <w:fldChar w:fldCharType="separate"/>
      </w:r>
      <w:r>
        <w:rPr>
          <w:rStyle w:val="34"/>
          <w:rFonts w:hint="eastAsia"/>
          <w14:scene3d>
            <w14:lightRig w14:rig="threePt" w14:dir="t">
              <w14:rot w14:lat="0" w14:lon="0" w14:rev="0"/>
            </w14:lightRig>
          </w14:scene3d>
        </w:rPr>
        <w:t>6.2</w:t>
      </w:r>
      <w:r>
        <w:rPr>
          <w:rStyle w:val="34"/>
          <w14:scene3d>
            <w14:lightRig w14:rig="threePt" w14:dir="t">
              <w14:rot w14:lat="0" w14:lon="0" w14:rev="0"/>
            </w14:lightRig>
          </w14:scene3d>
        </w:rPr>
        <w:t xml:space="preserve"> </w:t>
      </w:r>
      <w:r>
        <w:rPr>
          <w:rStyle w:val="34"/>
          <w:rFonts w:hint="eastAsia"/>
        </w:rPr>
        <w:t xml:space="preserve"> 维修项目判定条件</w:t>
      </w:r>
      <w:r>
        <w:rPr>
          <w:rFonts w:hint="eastAsia"/>
        </w:rPr>
        <w:tab/>
      </w:r>
      <w:r>
        <w:rPr>
          <w:rFonts w:hint="eastAsia"/>
        </w:rPr>
        <w:fldChar w:fldCharType="begin"/>
      </w:r>
      <w:r>
        <w:rPr>
          <w:rFonts w:hint="eastAsia"/>
        </w:rPr>
        <w:instrText xml:space="preserve"> </w:instrText>
      </w:r>
      <w:r>
        <w:instrText xml:space="preserve">PAGEREF _Toc241610296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"_Toc241610297" </w:instrText>
      </w:r>
      <w:r>
        <w:fldChar w:fldCharType="separate"/>
      </w:r>
      <w:r>
        <w:rPr>
          <w:rStyle w:val="34"/>
          <w:rFonts w:hint="eastAsia"/>
        </w:rPr>
        <w:t>7</w:t>
      </w:r>
      <w:r>
        <w:rPr>
          <w:rStyle w:val="34"/>
        </w:rPr>
        <w:t xml:space="preserve"> </w:t>
      </w:r>
      <w:r>
        <w:rPr>
          <w:rStyle w:val="34"/>
          <w:rFonts w:hint="eastAsia"/>
        </w:rPr>
        <w:t xml:space="preserve"> 维修规划管理</w:t>
      </w:r>
      <w:r>
        <w:rPr>
          <w:rFonts w:hint="eastAsia"/>
        </w:rPr>
        <w:tab/>
      </w:r>
      <w:r>
        <w:rPr>
          <w:rFonts w:hint="eastAsia"/>
        </w:rPr>
        <w:fldChar w:fldCharType="begin"/>
      </w:r>
      <w:r>
        <w:rPr>
          <w:rFonts w:hint="eastAsia"/>
        </w:rPr>
        <w:instrText xml:space="preserve"> </w:instrText>
      </w:r>
      <w:r>
        <w:instrText xml:space="preserve">PAGEREF _Toc241610297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"_Toc241610298" </w:instrText>
      </w:r>
      <w:r>
        <w:fldChar w:fldCharType="separate"/>
      </w:r>
      <w:r>
        <w:rPr>
          <w:rStyle w:val="34"/>
          <w:rFonts w:hint="eastAsia"/>
          <w14:scene3d>
            <w14:lightRig w14:rig="threePt" w14:dir="t">
              <w14:rot w14:lat="0" w14:lon="0" w14:rev="0"/>
            </w14:lightRig>
          </w14:scene3d>
        </w:rPr>
        <w:t>7.1</w:t>
      </w:r>
      <w:r>
        <w:rPr>
          <w:rStyle w:val="34"/>
          <w14:scene3d>
            <w14:lightRig w14:rig="threePt" w14:dir="t">
              <w14:rot w14:lat="0" w14:lon="0" w14:rev="0"/>
            </w14:lightRig>
          </w14:scene3d>
        </w:rPr>
        <w:t xml:space="preserve"> </w:t>
      </w:r>
      <w:r>
        <w:rPr>
          <w:rStyle w:val="34"/>
          <w:rFonts w:hint="eastAsia"/>
        </w:rPr>
        <w:t xml:space="preserve"> 项目申报</w:t>
      </w:r>
      <w:r>
        <w:rPr>
          <w:rFonts w:hint="eastAsia"/>
        </w:rPr>
        <w:tab/>
      </w:r>
      <w:r>
        <w:rPr>
          <w:rFonts w:hint="eastAsia"/>
        </w:rPr>
        <w:fldChar w:fldCharType="begin"/>
      </w:r>
      <w:r>
        <w:rPr>
          <w:rFonts w:hint="eastAsia"/>
        </w:rPr>
        <w:instrText xml:space="preserve"> </w:instrText>
      </w:r>
      <w:r>
        <w:instrText xml:space="preserve">PAGEREF _Toc241610298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"_Toc241610299" </w:instrText>
      </w:r>
      <w:r>
        <w:fldChar w:fldCharType="separate"/>
      </w:r>
      <w:r>
        <w:rPr>
          <w:rStyle w:val="34"/>
          <w:rFonts w:hint="eastAsia"/>
          <w14:scene3d>
            <w14:lightRig w14:rig="threePt" w14:dir="t">
              <w14:rot w14:lat="0" w14:lon="0" w14:rev="0"/>
            </w14:lightRig>
          </w14:scene3d>
        </w:rPr>
        <w:t>7.2</w:t>
      </w:r>
      <w:r>
        <w:rPr>
          <w:rStyle w:val="34"/>
          <w14:scene3d>
            <w14:lightRig w14:rig="threePt" w14:dir="t">
              <w14:rot w14:lat="0" w14:lon="0" w14:rev="0"/>
            </w14:lightRig>
          </w14:scene3d>
        </w:rPr>
        <w:t xml:space="preserve"> </w:t>
      </w:r>
      <w:r>
        <w:rPr>
          <w:rStyle w:val="34"/>
          <w:rFonts w:hint="eastAsia"/>
        </w:rPr>
        <w:t xml:space="preserve"> 规划编制</w:t>
      </w:r>
      <w:r>
        <w:rPr>
          <w:rFonts w:hint="eastAsia"/>
        </w:rPr>
        <w:tab/>
      </w:r>
      <w:r>
        <w:rPr>
          <w:rFonts w:hint="eastAsia"/>
        </w:rPr>
        <w:fldChar w:fldCharType="begin"/>
      </w:r>
      <w:r>
        <w:rPr>
          <w:rFonts w:hint="eastAsia"/>
        </w:rPr>
        <w:instrText xml:space="preserve"> </w:instrText>
      </w:r>
      <w:r>
        <w:instrText xml:space="preserve">PAGEREF _Toc241610299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"_Toc241610300" </w:instrText>
      </w:r>
      <w:r>
        <w:fldChar w:fldCharType="separate"/>
      </w:r>
      <w:r>
        <w:rPr>
          <w:rStyle w:val="34"/>
          <w:rFonts w:hint="eastAsia"/>
          <w14:scene3d>
            <w14:lightRig w14:rig="threePt" w14:dir="t">
              <w14:rot w14:lat="0" w14:lon="0" w14:rev="0"/>
            </w14:lightRig>
          </w14:scene3d>
        </w:rPr>
        <w:t>7.3</w:t>
      </w:r>
      <w:r>
        <w:rPr>
          <w:rStyle w:val="34"/>
          <w14:scene3d>
            <w14:lightRig w14:rig="threePt" w14:dir="t">
              <w14:rot w14:lat="0" w14:lon="0" w14:rev="0"/>
            </w14:lightRig>
          </w14:scene3d>
        </w:rPr>
        <w:t xml:space="preserve"> </w:t>
      </w:r>
      <w:r>
        <w:rPr>
          <w:rStyle w:val="34"/>
          <w:rFonts w:hint="eastAsia"/>
        </w:rPr>
        <w:t xml:space="preserve"> 规划实施</w:t>
      </w:r>
      <w:r>
        <w:rPr>
          <w:rFonts w:hint="eastAsia"/>
        </w:rPr>
        <w:tab/>
      </w:r>
      <w:r>
        <w:rPr>
          <w:rFonts w:hint="eastAsia"/>
        </w:rPr>
        <w:fldChar w:fldCharType="begin"/>
      </w:r>
      <w:r>
        <w:rPr>
          <w:rFonts w:hint="eastAsia"/>
        </w:rPr>
        <w:instrText xml:space="preserve"> </w:instrText>
      </w:r>
      <w:r>
        <w:instrText xml:space="preserve">PAGEREF _Toc241610300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"_Toc241610301" </w:instrText>
      </w:r>
      <w:r>
        <w:fldChar w:fldCharType="separate"/>
      </w:r>
      <w:r>
        <w:rPr>
          <w:rStyle w:val="34"/>
          <w:rFonts w:hint="eastAsia"/>
          <w14:scene3d>
            <w14:lightRig w14:rig="threePt" w14:dir="t">
              <w14:rot w14:lat="0" w14:lon="0" w14:rev="0"/>
            </w14:lightRig>
          </w14:scene3d>
        </w:rPr>
        <w:t>7.4</w:t>
      </w:r>
      <w:r>
        <w:rPr>
          <w:rStyle w:val="34"/>
          <w14:scene3d>
            <w14:lightRig w14:rig="threePt" w14:dir="t">
              <w14:rot w14:lat="0" w14:lon="0" w14:rev="0"/>
            </w14:lightRig>
          </w14:scene3d>
        </w:rPr>
        <w:t xml:space="preserve"> </w:t>
      </w:r>
      <w:r>
        <w:rPr>
          <w:rStyle w:val="34"/>
          <w:rFonts w:hint="eastAsia"/>
        </w:rPr>
        <w:t xml:space="preserve"> 维修项目库管理</w:t>
      </w:r>
      <w:r>
        <w:rPr>
          <w:rFonts w:hint="eastAsia"/>
        </w:rPr>
        <w:tab/>
      </w:r>
      <w:r>
        <w:rPr>
          <w:rFonts w:hint="eastAsia"/>
        </w:rPr>
        <w:fldChar w:fldCharType="begin"/>
      </w:r>
      <w:r>
        <w:rPr>
          <w:rFonts w:hint="eastAsia"/>
        </w:rPr>
        <w:instrText xml:space="preserve"> </w:instrText>
      </w:r>
      <w:r>
        <w:instrText xml:space="preserve">PAGEREF _Toc241610301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"_Toc241610302" </w:instrText>
      </w:r>
      <w:r>
        <w:fldChar w:fldCharType="separate"/>
      </w:r>
      <w:r>
        <w:rPr>
          <w:rStyle w:val="34"/>
          <w:rFonts w:hint="eastAsia"/>
        </w:rPr>
        <w:t>8</w:t>
      </w:r>
      <w:r>
        <w:rPr>
          <w:rStyle w:val="34"/>
        </w:rPr>
        <w:t xml:space="preserve"> </w:t>
      </w:r>
      <w:r>
        <w:rPr>
          <w:rStyle w:val="34"/>
          <w:rFonts w:hint="eastAsia"/>
        </w:rPr>
        <w:t xml:space="preserve"> 检查</w:t>
      </w:r>
      <w:r>
        <w:rPr>
          <w:rFonts w:hint="eastAsia"/>
        </w:rPr>
        <w:tab/>
      </w:r>
      <w:r>
        <w:rPr>
          <w:rFonts w:hint="eastAsia"/>
        </w:rPr>
        <w:fldChar w:fldCharType="begin"/>
      </w:r>
      <w:r>
        <w:rPr>
          <w:rFonts w:hint="eastAsia"/>
        </w:rPr>
        <w:instrText xml:space="preserve"> </w:instrText>
      </w:r>
      <w:r>
        <w:instrText xml:space="preserve">PAGEREF _Toc241610302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"_Toc241610303" </w:instrText>
      </w:r>
      <w:r>
        <w:fldChar w:fldCharType="separate"/>
      </w:r>
      <w:r>
        <w:rPr>
          <w:rStyle w:val="34"/>
          <w:rFonts w:hint="eastAsia"/>
          <w14:scene3d>
            <w14:lightRig w14:rig="threePt" w14:dir="t">
              <w14:rot w14:lat="0" w14:lon="0" w14:rev="0"/>
            </w14:lightRig>
          </w14:scene3d>
        </w:rPr>
        <w:t>8.1</w:t>
      </w:r>
      <w:r>
        <w:rPr>
          <w:rStyle w:val="34"/>
          <w14:scene3d>
            <w14:lightRig w14:rig="threePt" w14:dir="t">
              <w14:rot w14:lat="0" w14:lon="0" w14:rev="0"/>
            </w14:lightRig>
          </w14:scene3d>
        </w:rPr>
        <w:t xml:space="preserve"> </w:t>
      </w:r>
      <w:r>
        <w:rPr>
          <w:rStyle w:val="34"/>
          <w:rFonts w:hint="eastAsia"/>
        </w:rPr>
        <w:t xml:space="preserve"> 日常检查</w:t>
      </w:r>
      <w:r>
        <w:rPr>
          <w:rFonts w:hint="eastAsia"/>
        </w:rPr>
        <w:tab/>
      </w:r>
      <w:r>
        <w:rPr>
          <w:rFonts w:hint="eastAsia"/>
        </w:rPr>
        <w:fldChar w:fldCharType="begin"/>
      </w:r>
      <w:r>
        <w:rPr>
          <w:rFonts w:hint="eastAsia"/>
        </w:rPr>
        <w:instrText xml:space="preserve"> </w:instrText>
      </w:r>
      <w:r>
        <w:instrText xml:space="preserve">PAGEREF _Toc241610303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"_Toc241610304" </w:instrText>
      </w:r>
      <w:r>
        <w:fldChar w:fldCharType="separate"/>
      </w:r>
      <w:r>
        <w:rPr>
          <w:rStyle w:val="34"/>
          <w:rFonts w:hint="eastAsia"/>
          <w14:scene3d>
            <w14:lightRig w14:rig="threePt" w14:dir="t">
              <w14:rot w14:lat="0" w14:lon="0" w14:rev="0"/>
            </w14:lightRig>
          </w14:scene3d>
        </w:rPr>
        <w:t>8.2</w:t>
      </w:r>
      <w:r>
        <w:rPr>
          <w:rStyle w:val="34"/>
          <w14:scene3d>
            <w14:lightRig w14:rig="threePt" w14:dir="t">
              <w14:rot w14:lat="0" w14:lon="0" w14:rev="0"/>
            </w14:lightRig>
          </w14:scene3d>
        </w:rPr>
        <w:t xml:space="preserve"> </w:t>
      </w:r>
      <w:r>
        <w:rPr>
          <w:rStyle w:val="34"/>
          <w:rFonts w:hint="eastAsia"/>
        </w:rPr>
        <w:t xml:space="preserve"> 综合检查</w:t>
      </w:r>
      <w:r>
        <w:rPr>
          <w:rFonts w:hint="eastAsia"/>
        </w:rPr>
        <w:tab/>
      </w:r>
      <w:r>
        <w:rPr>
          <w:rFonts w:hint="eastAsia"/>
        </w:rPr>
        <w:fldChar w:fldCharType="begin"/>
      </w:r>
      <w:r>
        <w:rPr>
          <w:rFonts w:hint="eastAsia"/>
        </w:rPr>
        <w:instrText xml:space="preserve"> </w:instrText>
      </w:r>
      <w:r>
        <w:instrText xml:space="preserve">PAGEREF _Toc241610304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"_Toc241610305" </w:instrText>
      </w:r>
      <w:r>
        <w:fldChar w:fldCharType="separate"/>
      </w:r>
      <w:r>
        <w:rPr>
          <w:rStyle w:val="34"/>
          <w:rFonts w:hint="eastAsia"/>
        </w:rPr>
        <w:t>9</w:t>
      </w:r>
      <w:r>
        <w:rPr>
          <w:rStyle w:val="34"/>
        </w:rPr>
        <w:t xml:space="preserve"> </w:t>
      </w:r>
      <w:r>
        <w:rPr>
          <w:rStyle w:val="34"/>
          <w:rFonts w:hint="eastAsia"/>
        </w:rPr>
        <w:t xml:space="preserve"> 维修项目实施</w:t>
      </w:r>
      <w:r>
        <w:rPr>
          <w:rFonts w:hint="eastAsia"/>
        </w:rPr>
        <w:tab/>
      </w:r>
      <w:r>
        <w:rPr>
          <w:rFonts w:hint="eastAsia"/>
        </w:rPr>
        <w:fldChar w:fldCharType="begin"/>
      </w:r>
      <w:r>
        <w:rPr>
          <w:rFonts w:hint="eastAsia"/>
        </w:rPr>
        <w:instrText xml:space="preserve"> </w:instrText>
      </w:r>
      <w:r>
        <w:instrText xml:space="preserve">PAGEREF _Toc241610305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"_Toc241610306" </w:instrText>
      </w:r>
      <w:r>
        <w:fldChar w:fldCharType="separate"/>
      </w:r>
      <w:r>
        <w:rPr>
          <w:rStyle w:val="34"/>
          <w:rFonts w:hint="eastAsia"/>
          <w14:scene3d>
            <w14:lightRig w14:rig="threePt" w14:dir="t">
              <w14:rot w14:lat="0" w14:lon="0" w14:rev="0"/>
            </w14:lightRig>
          </w14:scene3d>
        </w:rPr>
        <w:t>9.1</w:t>
      </w:r>
      <w:r>
        <w:rPr>
          <w:rStyle w:val="34"/>
          <w14:scene3d>
            <w14:lightRig w14:rig="threePt" w14:dir="t">
              <w14:rot w14:lat="0" w14:lon="0" w14:rev="0"/>
            </w14:lightRig>
          </w14:scene3d>
        </w:rPr>
        <w:t xml:space="preserve"> </w:t>
      </w:r>
      <w:r>
        <w:rPr>
          <w:rStyle w:val="34"/>
          <w:rFonts w:hint="eastAsia"/>
        </w:rPr>
        <w:t xml:space="preserve"> 前期准备</w:t>
      </w:r>
      <w:r>
        <w:rPr>
          <w:rFonts w:hint="eastAsia"/>
        </w:rPr>
        <w:tab/>
      </w:r>
      <w:r>
        <w:rPr>
          <w:rFonts w:hint="eastAsia"/>
        </w:rPr>
        <w:fldChar w:fldCharType="begin"/>
      </w:r>
      <w:r>
        <w:rPr>
          <w:rFonts w:hint="eastAsia"/>
        </w:rPr>
        <w:instrText xml:space="preserve"> </w:instrText>
      </w:r>
      <w:r>
        <w:instrText xml:space="preserve">PAGEREF _Toc241610306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"_Toc241610307" </w:instrText>
      </w:r>
      <w:r>
        <w:fldChar w:fldCharType="separate"/>
      </w:r>
      <w:r>
        <w:rPr>
          <w:rStyle w:val="34"/>
          <w:rFonts w:hint="eastAsia"/>
          <w14:scene3d>
            <w14:lightRig w14:rig="threePt" w14:dir="t">
              <w14:rot w14:lat="0" w14:lon="0" w14:rev="0"/>
            </w14:lightRig>
          </w14:scene3d>
        </w:rPr>
        <w:t>9.2</w:t>
      </w:r>
      <w:r>
        <w:rPr>
          <w:rStyle w:val="34"/>
          <w14:scene3d>
            <w14:lightRig w14:rig="threePt" w14:dir="t">
              <w14:rot w14:lat="0" w14:lon="0" w14:rev="0"/>
            </w14:lightRig>
          </w14:scene3d>
        </w:rPr>
        <w:t xml:space="preserve"> </w:t>
      </w:r>
      <w:r>
        <w:rPr>
          <w:rStyle w:val="34"/>
          <w:rFonts w:hint="eastAsia"/>
        </w:rPr>
        <w:t xml:space="preserve"> 设计与预算</w:t>
      </w:r>
      <w:r>
        <w:rPr>
          <w:rFonts w:hint="eastAsia"/>
        </w:rPr>
        <w:tab/>
      </w:r>
      <w:r>
        <w:rPr>
          <w:rFonts w:hint="eastAsia"/>
        </w:rPr>
        <w:fldChar w:fldCharType="begin"/>
      </w:r>
      <w:r>
        <w:rPr>
          <w:rFonts w:hint="eastAsia"/>
        </w:rPr>
        <w:instrText xml:space="preserve"> </w:instrText>
      </w:r>
      <w:r>
        <w:instrText xml:space="preserve">PAGEREF _Toc241610307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"_Toc241610308" </w:instrText>
      </w:r>
      <w:r>
        <w:fldChar w:fldCharType="separate"/>
      </w:r>
      <w:r>
        <w:rPr>
          <w:rStyle w:val="34"/>
          <w:rFonts w:hint="eastAsia"/>
          <w14:scene3d>
            <w14:lightRig w14:rig="threePt" w14:dir="t">
              <w14:rot w14:lat="0" w14:lon="0" w14:rev="0"/>
            </w14:lightRig>
          </w14:scene3d>
        </w:rPr>
        <w:t>9.3</w:t>
      </w:r>
      <w:r>
        <w:rPr>
          <w:rStyle w:val="34"/>
          <w14:scene3d>
            <w14:lightRig w14:rig="threePt" w14:dir="t">
              <w14:rot w14:lat="0" w14:lon="0" w14:rev="0"/>
            </w14:lightRig>
          </w14:scene3d>
        </w:rPr>
        <w:t xml:space="preserve"> </w:t>
      </w:r>
      <w:r>
        <w:rPr>
          <w:rStyle w:val="34"/>
          <w:rFonts w:hint="eastAsia"/>
        </w:rPr>
        <w:t xml:space="preserve"> 采购与合同</w:t>
      </w:r>
      <w:r>
        <w:rPr>
          <w:rFonts w:hint="eastAsia"/>
        </w:rPr>
        <w:tab/>
      </w:r>
      <w:r>
        <w:rPr>
          <w:rFonts w:hint="eastAsia"/>
        </w:rPr>
        <w:fldChar w:fldCharType="begin"/>
      </w:r>
      <w:r>
        <w:rPr>
          <w:rFonts w:hint="eastAsia"/>
        </w:rPr>
        <w:instrText xml:space="preserve"> </w:instrText>
      </w:r>
      <w:r>
        <w:instrText xml:space="preserve">PAGEREF _Toc241610308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"_Toc241610309" </w:instrText>
      </w:r>
      <w:r>
        <w:fldChar w:fldCharType="separate"/>
      </w:r>
      <w:r>
        <w:rPr>
          <w:rStyle w:val="34"/>
          <w:rFonts w:hint="eastAsia"/>
          <w14:scene3d>
            <w14:lightRig w14:rig="threePt" w14:dir="t">
              <w14:rot w14:lat="0" w14:lon="0" w14:rev="0"/>
            </w14:lightRig>
          </w14:scene3d>
        </w:rPr>
        <w:t>9.4</w:t>
      </w:r>
      <w:r>
        <w:rPr>
          <w:rStyle w:val="34"/>
          <w14:scene3d>
            <w14:lightRig w14:rig="threePt" w14:dir="t">
              <w14:rot w14:lat="0" w14:lon="0" w14:rev="0"/>
            </w14:lightRig>
          </w14:scene3d>
        </w:rPr>
        <w:t xml:space="preserve"> </w:t>
      </w:r>
      <w:r>
        <w:rPr>
          <w:rStyle w:val="34"/>
          <w:rFonts w:hint="eastAsia"/>
        </w:rPr>
        <w:t xml:space="preserve"> 施工管理</w:t>
      </w:r>
      <w:r>
        <w:rPr>
          <w:rFonts w:hint="eastAsia"/>
        </w:rPr>
        <w:tab/>
      </w:r>
      <w:r>
        <w:rPr>
          <w:rFonts w:hint="eastAsia"/>
        </w:rPr>
        <w:fldChar w:fldCharType="begin"/>
      </w:r>
      <w:r>
        <w:rPr>
          <w:rFonts w:hint="eastAsia"/>
        </w:rPr>
        <w:instrText xml:space="preserve"> </w:instrText>
      </w:r>
      <w:r>
        <w:instrText xml:space="preserve">PAGEREF _Toc241610309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"_Toc241610310" </w:instrText>
      </w:r>
      <w:r>
        <w:fldChar w:fldCharType="separate"/>
      </w:r>
      <w:r>
        <w:rPr>
          <w:rStyle w:val="34"/>
          <w:rFonts w:hint="eastAsia"/>
          <w14:scene3d>
            <w14:lightRig w14:rig="threePt" w14:dir="t">
              <w14:rot w14:lat="0" w14:lon="0" w14:rev="0"/>
            </w14:lightRig>
          </w14:scene3d>
        </w:rPr>
        <w:t>9.5</w:t>
      </w:r>
      <w:r>
        <w:rPr>
          <w:rStyle w:val="34"/>
          <w14:scene3d>
            <w14:lightRig w14:rig="threePt" w14:dir="t">
              <w14:rot w14:lat="0" w14:lon="0" w14:rev="0"/>
            </w14:lightRig>
          </w14:scene3d>
        </w:rPr>
        <w:t xml:space="preserve"> </w:t>
      </w:r>
      <w:r>
        <w:rPr>
          <w:rStyle w:val="34"/>
          <w:rFonts w:hint="eastAsia"/>
        </w:rPr>
        <w:t xml:space="preserve"> 变更与签证</w:t>
      </w:r>
      <w:r>
        <w:rPr>
          <w:rFonts w:hint="eastAsia"/>
        </w:rPr>
        <w:tab/>
      </w:r>
      <w:r>
        <w:rPr>
          <w:rFonts w:hint="eastAsia"/>
        </w:rPr>
        <w:fldChar w:fldCharType="begin"/>
      </w:r>
      <w:r>
        <w:rPr>
          <w:rFonts w:hint="eastAsia"/>
        </w:rPr>
        <w:instrText xml:space="preserve"> </w:instrText>
      </w:r>
      <w:r>
        <w:instrText xml:space="preserve">PAGEREF _Toc241610310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"_Toc241610311" </w:instrText>
      </w:r>
      <w:r>
        <w:fldChar w:fldCharType="separate"/>
      </w:r>
      <w:r>
        <w:rPr>
          <w:rStyle w:val="34"/>
          <w:rFonts w:hint="eastAsia"/>
          <w14:scene3d>
            <w14:lightRig w14:rig="threePt" w14:dir="t">
              <w14:rot w14:lat="0" w14:lon="0" w14:rev="0"/>
            </w14:lightRig>
          </w14:scene3d>
        </w:rPr>
        <w:t>9.6</w:t>
      </w:r>
      <w:r>
        <w:rPr>
          <w:rStyle w:val="34"/>
          <w14:scene3d>
            <w14:lightRig w14:rig="threePt" w14:dir="t">
              <w14:rot w14:lat="0" w14:lon="0" w14:rev="0"/>
            </w14:lightRig>
          </w14:scene3d>
        </w:rPr>
        <w:t xml:space="preserve"> </w:t>
      </w:r>
      <w:r>
        <w:rPr>
          <w:rStyle w:val="34"/>
          <w:rFonts w:hint="eastAsia"/>
        </w:rPr>
        <w:t xml:space="preserve"> 资金管理</w:t>
      </w:r>
      <w:r>
        <w:rPr>
          <w:rFonts w:hint="eastAsia"/>
        </w:rPr>
        <w:tab/>
      </w:r>
      <w:r>
        <w:rPr>
          <w:rFonts w:hint="eastAsia"/>
        </w:rPr>
        <w:fldChar w:fldCharType="begin"/>
      </w:r>
      <w:r>
        <w:rPr>
          <w:rFonts w:hint="eastAsia"/>
        </w:rPr>
        <w:instrText xml:space="preserve"> </w:instrText>
      </w:r>
      <w:r>
        <w:instrText xml:space="preserve">PAGEREF _Toc241610311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"_Toc241610312" </w:instrText>
      </w:r>
      <w:r>
        <w:fldChar w:fldCharType="separate"/>
      </w:r>
      <w:r>
        <w:rPr>
          <w:rStyle w:val="34"/>
          <w:rFonts w:hint="eastAsia"/>
        </w:rPr>
        <w:t>10</w:t>
      </w:r>
      <w:r>
        <w:rPr>
          <w:rStyle w:val="34"/>
        </w:rPr>
        <w:t xml:space="preserve"> </w:t>
      </w:r>
      <w:r>
        <w:rPr>
          <w:rStyle w:val="34"/>
          <w:rFonts w:hint="eastAsia"/>
        </w:rPr>
        <w:t xml:space="preserve"> 质量验收</w:t>
      </w:r>
      <w:r>
        <w:rPr>
          <w:rFonts w:hint="eastAsia"/>
        </w:rPr>
        <w:tab/>
      </w:r>
      <w:r>
        <w:rPr>
          <w:rFonts w:hint="eastAsia"/>
        </w:rPr>
        <w:fldChar w:fldCharType="begin"/>
      </w:r>
      <w:r>
        <w:rPr>
          <w:rFonts w:hint="eastAsia"/>
        </w:rPr>
        <w:instrText xml:space="preserve"> </w:instrText>
      </w:r>
      <w:r>
        <w:instrText xml:space="preserve">PAGEREF _Toc241610312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"_Toc241610313" </w:instrText>
      </w:r>
      <w:r>
        <w:fldChar w:fldCharType="separate"/>
      </w:r>
      <w:r>
        <w:rPr>
          <w:rStyle w:val="34"/>
          <w:rFonts w:hint="eastAsia"/>
          <w14:scene3d>
            <w14:lightRig w14:rig="threePt" w14:dir="t">
              <w14:rot w14:lat="0" w14:lon="0" w14:rev="0"/>
            </w14:lightRig>
          </w14:scene3d>
        </w:rPr>
        <w:t>10.1</w:t>
      </w:r>
      <w:r>
        <w:rPr>
          <w:rStyle w:val="34"/>
          <w14:scene3d>
            <w14:lightRig w14:rig="threePt" w14:dir="t">
              <w14:rot w14:lat="0" w14:lon="0" w14:rev="0"/>
            </w14:lightRig>
          </w14:scene3d>
        </w:rPr>
        <w:t xml:space="preserve"> </w:t>
      </w:r>
      <w:r>
        <w:rPr>
          <w:rStyle w:val="34"/>
          <w:rFonts w:hint="eastAsia"/>
        </w:rPr>
        <w:t xml:space="preserve"> 验收条件</w:t>
      </w:r>
      <w:r>
        <w:rPr>
          <w:rFonts w:hint="eastAsia"/>
        </w:rPr>
        <w:tab/>
      </w:r>
      <w:r>
        <w:rPr>
          <w:rFonts w:hint="eastAsia"/>
        </w:rPr>
        <w:fldChar w:fldCharType="begin"/>
      </w:r>
      <w:r>
        <w:rPr>
          <w:rFonts w:hint="eastAsia"/>
        </w:rPr>
        <w:instrText xml:space="preserve"> </w:instrText>
      </w:r>
      <w:r>
        <w:instrText xml:space="preserve">PAGEREF _Toc241610313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"_Toc241610314" </w:instrText>
      </w:r>
      <w:r>
        <w:fldChar w:fldCharType="separate"/>
      </w:r>
      <w:r>
        <w:rPr>
          <w:rStyle w:val="34"/>
          <w:rFonts w:hint="eastAsia"/>
          <w14:scene3d>
            <w14:lightRig w14:rig="threePt" w14:dir="t">
              <w14:rot w14:lat="0" w14:lon="0" w14:rev="0"/>
            </w14:lightRig>
          </w14:scene3d>
        </w:rPr>
        <w:t>10.2</w:t>
      </w:r>
      <w:r>
        <w:rPr>
          <w:rStyle w:val="34"/>
          <w14:scene3d>
            <w14:lightRig w14:rig="threePt" w14:dir="t">
              <w14:rot w14:lat="0" w14:lon="0" w14:rev="0"/>
            </w14:lightRig>
          </w14:scene3d>
        </w:rPr>
        <w:t xml:space="preserve"> </w:t>
      </w:r>
      <w:r>
        <w:rPr>
          <w:rStyle w:val="34"/>
          <w:rFonts w:hint="eastAsia"/>
        </w:rPr>
        <w:t xml:space="preserve"> 验收程序</w:t>
      </w:r>
      <w:r>
        <w:rPr>
          <w:rFonts w:hint="eastAsia"/>
        </w:rPr>
        <w:tab/>
      </w:r>
      <w:r>
        <w:rPr>
          <w:rFonts w:hint="eastAsia"/>
        </w:rPr>
        <w:fldChar w:fldCharType="begin"/>
      </w:r>
      <w:r>
        <w:rPr>
          <w:rFonts w:hint="eastAsia"/>
        </w:rPr>
        <w:instrText xml:space="preserve"> </w:instrText>
      </w:r>
      <w:r>
        <w:instrText xml:space="preserve">PAGEREF _Toc241610314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"_Toc241610315" </w:instrText>
      </w:r>
      <w:r>
        <w:fldChar w:fldCharType="separate"/>
      </w:r>
      <w:r>
        <w:rPr>
          <w:rStyle w:val="34"/>
          <w:rFonts w:hint="eastAsia"/>
          <w14:scene3d>
            <w14:lightRig w14:rig="threePt" w14:dir="t">
              <w14:rot w14:lat="0" w14:lon="0" w14:rev="0"/>
            </w14:lightRig>
          </w14:scene3d>
        </w:rPr>
        <w:t>10.3</w:t>
      </w:r>
      <w:r>
        <w:rPr>
          <w:rStyle w:val="34"/>
          <w14:scene3d>
            <w14:lightRig w14:rig="threePt" w14:dir="t">
              <w14:rot w14:lat="0" w14:lon="0" w14:rev="0"/>
            </w14:lightRig>
          </w14:scene3d>
        </w:rPr>
        <w:t xml:space="preserve"> </w:t>
      </w:r>
      <w:r>
        <w:rPr>
          <w:rStyle w:val="34"/>
          <w:rFonts w:hint="eastAsia"/>
        </w:rPr>
        <w:t xml:space="preserve"> 验收标准</w:t>
      </w:r>
      <w:r>
        <w:rPr>
          <w:rFonts w:hint="eastAsia"/>
        </w:rPr>
        <w:tab/>
      </w:r>
      <w:r>
        <w:rPr>
          <w:rFonts w:hint="eastAsia"/>
        </w:rPr>
        <w:fldChar w:fldCharType="begin"/>
      </w:r>
      <w:r>
        <w:rPr>
          <w:rFonts w:hint="eastAsia"/>
        </w:rPr>
        <w:instrText xml:space="preserve"> </w:instrText>
      </w:r>
      <w:r>
        <w:instrText xml:space="preserve">PAGEREF _Toc241610315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"_Toc241610316" </w:instrText>
      </w:r>
      <w:r>
        <w:fldChar w:fldCharType="separate"/>
      </w:r>
      <w:r>
        <w:rPr>
          <w:rStyle w:val="34"/>
          <w:rFonts w:hint="eastAsia"/>
        </w:rPr>
        <w:t>11</w:t>
      </w:r>
      <w:r>
        <w:rPr>
          <w:rStyle w:val="34"/>
        </w:rPr>
        <w:t xml:space="preserve"> </w:t>
      </w:r>
      <w:r>
        <w:rPr>
          <w:rStyle w:val="34"/>
          <w:rFonts w:hint="eastAsia"/>
        </w:rPr>
        <w:t xml:space="preserve"> 维修技术要求</w:t>
      </w:r>
      <w:r>
        <w:rPr>
          <w:rFonts w:hint="eastAsia"/>
        </w:rPr>
        <w:tab/>
      </w:r>
      <w:r>
        <w:rPr>
          <w:rFonts w:hint="eastAsia"/>
        </w:rPr>
        <w:fldChar w:fldCharType="begin"/>
      </w:r>
      <w:r>
        <w:rPr>
          <w:rFonts w:hint="eastAsia"/>
        </w:rPr>
        <w:instrText xml:space="preserve"> </w:instrText>
      </w:r>
      <w:r>
        <w:instrText xml:space="preserve">PAGEREF _Toc241610316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"_Toc241610317" </w:instrText>
      </w:r>
      <w:r>
        <w:fldChar w:fldCharType="separate"/>
      </w:r>
      <w:r>
        <w:rPr>
          <w:rStyle w:val="34"/>
          <w:rFonts w:hint="eastAsia"/>
        </w:rPr>
        <w:t>12</w:t>
      </w:r>
      <w:r>
        <w:rPr>
          <w:rStyle w:val="34"/>
        </w:rPr>
        <w:t xml:space="preserve"> </w:t>
      </w:r>
      <w:r>
        <w:rPr>
          <w:rStyle w:val="34"/>
          <w:rFonts w:hint="eastAsia"/>
        </w:rPr>
        <w:t xml:space="preserve"> 造价控制</w:t>
      </w:r>
      <w:r>
        <w:rPr>
          <w:rFonts w:hint="eastAsia"/>
        </w:rPr>
        <w:tab/>
      </w:r>
      <w:r>
        <w:rPr>
          <w:rFonts w:hint="eastAsia"/>
        </w:rPr>
        <w:fldChar w:fldCharType="begin"/>
      </w:r>
      <w:r>
        <w:rPr>
          <w:rFonts w:hint="eastAsia"/>
        </w:rPr>
        <w:instrText xml:space="preserve"> </w:instrText>
      </w:r>
      <w:r>
        <w:instrText xml:space="preserve">PAGEREF _Toc241610317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"_Toc241610318" </w:instrText>
      </w:r>
      <w:r>
        <w:fldChar w:fldCharType="separate"/>
      </w:r>
      <w:r>
        <w:rPr>
          <w:rStyle w:val="34"/>
          <w:rFonts w:hint="eastAsia"/>
          <w14:scene3d>
            <w14:lightRig w14:rig="threePt" w14:dir="t">
              <w14:rot w14:lat="0" w14:lon="0" w14:rev="0"/>
            </w14:lightRig>
          </w14:scene3d>
        </w:rPr>
        <w:t>12.1</w:t>
      </w:r>
      <w:r>
        <w:rPr>
          <w:rStyle w:val="34"/>
          <w14:scene3d>
            <w14:lightRig w14:rig="threePt" w14:dir="t">
              <w14:rot w14:lat="0" w14:lon="0" w14:rev="0"/>
            </w14:lightRig>
          </w14:scene3d>
        </w:rPr>
        <w:t xml:space="preserve"> </w:t>
      </w:r>
      <w:r>
        <w:rPr>
          <w:rStyle w:val="34"/>
          <w:rFonts w:hint="eastAsia"/>
        </w:rPr>
        <w:t xml:space="preserve"> 造价估算</w:t>
      </w:r>
      <w:r>
        <w:rPr>
          <w:rFonts w:hint="eastAsia"/>
        </w:rPr>
        <w:tab/>
      </w:r>
      <w:r>
        <w:rPr>
          <w:rFonts w:hint="eastAsia"/>
        </w:rPr>
        <w:fldChar w:fldCharType="begin"/>
      </w:r>
      <w:r>
        <w:rPr>
          <w:rFonts w:hint="eastAsia"/>
        </w:rPr>
        <w:instrText xml:space="preserve"> </w:instrText>
      </w:r>
      <w:r>
        <w:instrText xml:space="preserve">PAGEREF _Toc241610318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"_Toc241610319" </w:instrText>
      </w:r>
      <w:r>
        <w:fldChar w:fldCharType="separate"/>
      </w:r>
      <w:r>
        <w:rPr>
          <w:rStyle w:val="34"/>
          <w:rFonts w:hint="eastAsia"/>
          <w14:scene3d>
            <w14:lightRig w14:rig="threePt" w14:dir="t">
              <w14:rot w14:lat="0" w14:lon="0" w14:rev="0"/>
            </w14:lightRig>
          </w14:scene3d>
        </w:rPr>
        <w:t>12.2</w:t>
      </w:r>
      <w:r>
        <w:rPr>
          <w:rStyle w:val="34"/>
          <w14:scene3d>
            <w14:lightRig w14:rig="threePt" w14:dir="t">
              <w14:rot w14:lat="0" w14:lon="0" w14:rev="0"/>
            </w14:lightRig>
          </w14:scene3d>
        </w:rPr>
        <w:t xml:space="preserve"> </w:t>
      </w:r>
      <w:r>
        <w:rPr>
          <w:rStyle w:val="34"/>
          <w:rFonts w:hint="eastAsia"/>
        </w:rPr>
        <w:t xml:space="preserve"> 价格调整</w:t>
      </w:r>
      <w:r>
        <w:rPr>
          <w:rFonts w:hint="eastAsia"/>
        </w:rPr>
        <w:tab/>
      </w:r>
      <w:r>
        <w:rPr>
          <w:rFonts w:hint="eastAsia"/>
        </w:rPr>
        <w:fldChar w:fldCharType="begin"/>
      </w:r>
      <w:r>
        <w:rPr>
          <w:rFonts w:hint="eastAsia"/>
        </w:rPr>
        <w:instrText xml:space="preserve"> </w:instrText>
      </w:r>
      <w:r>
        <w:instrText xml:space="preserve">PAGEREF _Toc241610319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"_Toc241610320" </w:instrText>
      </w:r>
      <w:r>
        <w:fldChar w:fldCharType="separate"/>
      </w:r>
      <w:r>
        <w:rPr>
          <w:rStyle w:val="34"/>
          <w:rFonts w:hint="eastAsia"/>
          <w14:scene3d>
            <w14:lightRig w14:rig="threePt" w14:dir="t">
              <w14:rot w14:lat="0" w14:lon="0" w14:rev="0"/>
            </w14:lightRig>
          </w14:scene3d>
        </w:rPr>
        <w:t>12.3</w:t>
      </w:r>
      <w:r>
        <w:rPr>
          <w:rStyle w:val="34"/>
          <w14:scene3d>
            <w14:lightRig w14:rig="threePt" w14:dir="t">
              <w14:rot w14:lat="0" w14:lon="0" w14:rev="0"/>
            </w14:lightRig>
          </w14:scene3d>
        </w:rPr>
        <w:t xml:space="preserve"> </w:t>
      </w:r>
      <w:r>
        <w:rPr>
          <w:rStyle w:val="34"/>
          <w:rFonts w:hint="eastAsia"/>
        </w:rPr>
        <w:t xml:space="preserve"> 造价控制</w:t>
      </w:r>
      <w:r>
        <w:rPr>
          <w:rFonts w:hint="eastAsia"/>
        </w:rPr>
        <w:tab/>
      </w:r>
      <w:r>
        <w:rPr>
          <w:rFonts w:hint="eastAsia"/>
        </w:rPr>
        <w:fldChar w:fldCharType="begin"/>
      </w:r>
      <w:r>
        <w:rPr>
          <w:rFonts w:hint="eastAsia"/>
        </w:rPr>
        <w:instrText xml:space="preserve"> </w:instrText>
      </w:r>
      <w:r>
        <w:instrText xml:space="preserve">PAGEREF _Toc241610320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"_Toc241610321" </w:instrText>
      </w:r>
      <w:r>
        <w:fldChar w:fldCharType="separate"/>
      </w:r>
      <w:r>
        <w:rPr>
          <w:rStyle w:val="34"/>
          <w:rFonts w:hint="eastAsia"/>
          <w14:scene3d>
            <w14:lightRig w14:rig="threePt" w14:dir="t">
              <w14:rot w14:lat="0" w14:lon="0" w14:rev="0"/>
            </w14:lightRig>
          </w14:scene3d>
        </w:rPr>
        <w:t>12.4</w:t>
      </w:r>
      <w:r>
        <w:rPr>
          <w:rStyle w:val="34"/>
          <w14:scene3d>
            <w14:lightRig w14:rig="threePt" w14:dir="t">
              <w14:rot w14:lat="0" w14:lon="0" w14:rev="0"/>
            </w14:lightRig>
          </w14:scene3d>
        </w:rPr>
        <w:t xml:space="preserve"> </w:t>
      </w:r>
      <w:r>
        <w:rPr>
          <w:rStyle w:val="34"/>
          <w:rFonts w:hint="eastAsia"/>
        </w:rPr>
        <w:t xml:space="preserve"> 绩效评价</w:t>
      </w:r>
      <w:r>
        <w:rPr>
          <w:rFonts w:hint="eastAsia"/>
        </w:rPr>
        <w:tab/>
      </w:r>
      <w:r>
        <w:rPr>
          <w:rFonts w:hint="eastAsia"/>
        </w:rPr>
        <w:fldChar w:fldCharType="begin"/>
      </w:r>
      <w:r>
        <w:rPr>
          <w:rFonts w:hint="eastAsia"/>
        </w:rPr>
        <w:instrText xml:space="preserve"> </w:instrText>
      </w:r>
      <w:r>
        <w:instrText xml:space="preserve">PAGEREF _Toc241610321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"_Toc241610322" </w:instrText>
      </w:r>
      <w:r>
        <w:fldChar w:fldCharType="separate"/>
      </w:r>
      <w:r>
        <w:rPr>
          <w:rStyle w:val="34"/>
          <w:rFonts w:hint="eastAsia"/>
          <w14:scene3d>
            <w14:lightRig w14:rig="threePt" w14:dir="t">
              <w14:rot w14:lat="0" w14:lon="0" w14:rev="0"/>
            </w14:lightRig>
          </w14:scene3d>
        </w:rPr>
        <w:t>12.5</w:t>
      </w:r>
      <w:r>
        <w:rPr>
          <w:rStyle w:val="34"/>
          <w14:scene3d>
            <w14:lightRig w14:rig="threePt" w14:dir="t">
              <w14:rot w14:lat="0" w14:lon="0" w14:rev="0"/>
            </w14:lightRig>
          </w14:scene3d>
        </w:rPr>
        <w:t xml:space="preserve"> </w:t>
      </w:r>
      <w:r>
        <w:rPr>
          <w:rStyle w:val="34"/>
          <w:rFonts w:hint="eastAsia"/>
        </w:rPr>
        <w:t xml:space="preserve"> 档案管理</w:t>
      </w:r>
      <w:r>
        <w:rPr>
          <w:rFonts w:hint="eastAsia"/>
        </w:rPr>
        <w:tab/>
      </w:r>
      <w:r>
        <w:rPr>
          <w:rFonts w:hint="eastAsia"/>
        </w:rPr>
        <w:fldChar w:fldCharType="begin"/>
      </w:r>
      <w:r>
        <w:rPr>
          <w:rFonts w:hint="eastAsia"/>
        </w:rPr>
        <w:instrText xml:space="preserve"> </w:instrText>
      </w:r>
      <w:r>
        <w:instrText xml:space="preserve">PAGEREF _Toc241610322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"_Toc241610323" </w:instrText>
      </w:r>
      <w:r>
        <w:fldChar w:fldCharType="separate"/>
      </w:r>
      <w:r>
        <w:rPr>
          <w:rStyle w:val="34"/>
          <w:rFonts w:hint="eastAsia"/>
        </w:rPr>
        <w:t>附录A（规范性）</w:t>
      </w:r>
      <w:r>
        <w:rPr>
          <w:rStyle w:val="34"/>
        </w:rPr>
        <w:t xml:space="preserve"> </w:t>
      </w:r>
      <w:r>
        <w:rPr>
          <w:rStyle w:val="34"/>
          <w:rFonts w:hint="eastAsia"/>
        </w:rPr>
        <w:t xml:space="preserve"> 承重系统检查、维修与验收技术要求</w:t>
      </w:r>
      <w:r>
        <w:rPr>
          <w:rFonts w:hint="eastAsia"/>
        </w:rPr>
        <w:tab/>
      </w:r>
      <w:r>
        <w:rPr>
          <w:rFonts w:hint="eastAsia"/>
        </w:rPr>
        <w:fldChar w:fldCharType="begin"/>
      </w:r>
      <w:r>
        <w:rPr>
          <w:rFonts w:hint="eastAsia"/>
        </w:rPr>
        <w:instrText xml:space="preserve"> </w:instrText>
      </w:r>
      <w:r>
        <w:instrText xml:space="preserve">PAGEREF _Toc241610323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"_Toc241610324" </w:instrText>
      </w:r>
      <w:r>
        <w:fldChar w:fldCharType="separate"/>
      </w:r>
      <w:r>
        <w:rPr>
          <w:rStyle w:val="34"/>
          <w:rFonts w:hint="eastAsia"/>
        </w:rPr>
        <w:t>A.1</w:t>
      </w:r>
      <w:r>
        <w:rPr>
          <w:rStyle w:val="34"/>
        </w:rPr>
        <w:t xml:space="preserve"> </w:t>
      </w:r>
      <w:r>
        <w:rPr>
          <w:rStyle w:val="34"/>
          <w:rFonts w:hint="eastAsia"/>
        </w:rPr>
        <w:t xml:space="preserve"> 一般规定和检查</w:t>
      </w:r>
      <w:r>
        <w:rPr>
          <w:rFonts w:hint="eastAsia"/>
        </w:rPr>
        <w:tab/>
      </w:r>
      <w:r>
        <w:rPr>
          <w:rFonts w:hint="eastAsia"/>
        </w:rPr>
        <w:fldChar w:fldCharType="begin"/>
      </w:r>
      <w:r>
        <w:rPr>
          <w:rFonts w:hint="eastAsia"/>
        </w:rPr>
        <w:instrText xml:space="preserve"> </w:instrText>
      </w:r>
      <w:r>
        <w:instrText xml:space="preserve">PAGEREF _Toc241610324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"_Toc241610325" </w:instrText>
      </w:r>
      <w:r>
        <w:fldChar w:fldCharType="separate"/>
      </w:r>
      <w:r>
        <w:rPr>
          <w:rStyle w:val="34"/>
          <w:rFonts w:hint="eastAsia"/>
        </w:rPr>
        <w:t>A.2</w:t>
      </w:r>
      <w:r>
        <w:rPr>
          <w:rStyle w:val="34"/>
        </w:rPr>
        <w:t xml:space="preserve"> </w:t>
      </w:r>
      <w:r>
        <w:rPr>
          <w:rStyle w:val="34"/>
          <w:rFonts w:hint="eastAsia"/>
        </w:rPr>
        <w:t xml:space="preserve"> 承重结构系统维修</w:t>
      </w:r>
      <w:r>
        <w:rPr>
          <w:rFonts w:hint="eastAsia"/>
        </w:rPr>
        <w:tab/>
      </w:r>
      <w:r>
        <w:rPr>
          <w:rFonts w:hint="eastAsia"/>
        </w:rPr>
        <w:fldChar w:fldCharType="begin"/>
      </w:r>
      <w:r>
        <w:rPr>
          <w:rFonts w:hint="eastAsia"/>
        </w:rPr>
        <w:instrText xml:space="preserve"> </w:instrText>
      </w:r>
      <w:r>
        <w:instrText xml:space="preserve">PAGEREF _Toc241610325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"_Toc241610326" </w:instrText>
      </w:r>
      <w:r>
        <w:fldChar w:fldCharType="separate"/>
      </w:r>
      <w:r>
        <w:rPr>
          <w:rStyle w:val="34"/>
          <w:rFonts w:hint="eastAsia" w:hAnsi="宋体" w:cs="宋体"/>
        </w:rPr>
        <w:t xml:space="preserve">A.3 </w:t>
      </w:r>
      <w:r>
        <w:rPr>
          <w:rStyle w:val="34"/>
          <w:rFonts w:hint="eastAsia"/>
        </w:rPr>
        <w:t xml:space="preserve"> 承重结构系统维修验收</w:t>
      </w:r>
      <w:r>
        <w:rPr>
          <w:rFonts w:hint="eastAsia"/>
        </w:rPr>
        <w:tab/>
      </w:r>
      <w:r>
        <w:rPr>
          <w:rFonts w:hint="eastAsia"/>
        </w:rPr>
        <w:fldChar w:fldCharType="begin"/>
      </w:r>
      <w:r>
        <w:rPr>
          <w:rFonts w:hint="eastAsia"/>
        </w:rPr>
        <w:instrText xml:space="preserve"> </w:instrText>
      </w:r>
      <w:r>
        <w:instrText xml:space="preserve">PAGEREF _Toc241610326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"_Toc241610327" </w:instrText>
      </w:r>
      <w:r>
        <w:fldChar w:fldCharType="separate"/>
      </w:r>
      <w:r>
        <w:rPr>
          <w:rStyle w:val="34"/>
          <w:rFonts w:hint="eastAsia"/>
        </w:rPr>
        <w:t>附录B（规范性）</w:t>
      </w:r>
      <w:r>
        <w:rPr>
          <w:rStyle w:val="34"/>
        </w:rPr>
        <w:t xml:space="preserve"> </w:t>
      </w:r>
      <w:r>
        <w:rPr>
          <w:rStyle w:val="34"/>
          <w:rFonts w:hint="eastAsia"/>
        </w:rPr>
        <w:t xml:space="preserve"> 围护结构系统检查、维修与验收要求</w:t>
      </w:r>
      <w:r>
        <w:rPr>
          <w:rFonts w:hint="eastAsia"/>
        </w:rPr>
        <w:tab/>
      </w:r>
      <w:r>
        <w:rPr>
          <w:rFonts w:hint="eastAsia"/>
        </w:rPr>
        <w:fldChar w:fldCharType="begin"/>
      </w:r>
      <w:r>
        <w:rPr>
          <w:rFonts w:hint="eastAsia"/>
        </w:rPr>
        <w:instrText xml:space="preserve"> </w:instrText>
      </w:r>
      <w:r>
        <w:instrText xml:space="preserve">PAGEREF _Toc241610327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"_Toc241610328" </w:instrText>
      </w:r>
      <w:r>
        <w:fldChar w:fldCharType="separate"/>
      </w:r>
      <w:r>
        <w:rPr>
          <w:rStyle w:val="34"/>
          <w:rFonts w:hint="eastAsia"/>
        </w:rPr>
        <w:t>B.1</w:t>
      </w:r>
      <w:r>
        <w:rPr>
          <w:rStyle w:val="34"/>
        </w:rPr>
        <w:t xml:space="preserve"> </w:t>
      </w:r>
      <w:r>
        <w:rPr>
          <w:rStyle w:val="34"/>
          <w:rFonts w:hint="eastAsia"/>
        </w:rPr>
        <w:t xml:space="preserve"> 一般规定和检查</w:t>
      </w:r>
      <w:r>
        <w:rPr>
          <w:rFonts w:hint="eastAsia"/>
        </w:rPr>
        <w:tab/>
      </w:r>
      <w:r>
        <w:rPr>
          <w:rFonts w:hint="eastAsia"/>
        </w:rPr>
        <w:fldChar w:fldCharType="begin"/>
      </w:r>
      <w:r>
        <w:rPr>
          <w:rFonts w:hint="eastAsia"/>
        </w:rPr>
        <w:instrText xml:space="preserve"> </w:instrText>
      </w:r>
      <w:r>
        <w:instrText xml:space="preserve">PAGEREF _Toc241610328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"_Toc241610329" </w:instrText>
      </w:r>
      <w:r>
        <w:fldChar w:fldCharType="separate"/>
      </w:r>
      <w:r>
        <w:rPr>
          <w:rStyle w:val="34"/>
          <w:rFonts w:hint="eastAsia"/>
        </w:rPr>
        <w:t>B.2</w:t>
      </w:r>
      <w:r>
        <w:rPr>
          <w:rStyle w:val="34"/>
        </w:rPr>
        <w:t xml:space="preserve"> </w:t>
      </w:r>
      <w:r>
        <w:rPr>
          <w:rStyle w:val="34"/>
          <w:rFonts w:hint="eastAsia"/>
        </w:rPr>
        <w:t xml:space="preserve"> 围护结构系统维修</w:t>
      </w:r>
      <w:r>
        <w:rPr>
          <w:rFonts w:hint="eastAsia"/>
        </w:rPr>
        <w:tab/>
      </w:r>
      <w:r>
        <w:rPr>
          <w:rFonts w:hint="eastAsia"/>
        </w:rPr>
        <w:fldChar w:fldCharType="begin"/>
      </w:r>
      <w:r>
        <w:rPr>
          <w:rFonts w:hint="eastAsia"/>
        </w:rPr>
        <w:instrText xml:space="preserve"> </w:instrText>
      </w:r>
      <w:r>
        <w:instrText xml:space="preserve">PAGEREF _Toc241610329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"_Toc241610330" </w:instrText>
      </w:r>
      <w:r>
        <w:fldChar w:fldCharType="separate"/>
      </w:r>
      <w:r>
        <w:rPr>
          <w:rStyle w:val="34"/>
          <w:rFonts w:hint="eastAsia"/>
        </w:rPr>
        <w:t>B.3</w:t>
      </w:r>
      <w:r>
        <w:rPr>
          <w:rStyle w:val="34"/>
        </w:rPr>
        <w:t xml:space="preserve"> </w:t>
      </w:r>
      <w:r>
        <w:rPr>
          <w:rStyle w:val="34"/>
          <w:rFonts w:hint="eastAsia"/>
        </w:rPr>
        <w:t xml:space="preserve"> 围护结构系统维修验收</w:t>
      </w:r>
      <w:r>
        <w:rPr>
          <w:rFonts w:hint="eastAsia"/>
        </w:rPr>
        <w:tab/>
      </w:r>
      <w:r>
        <w:rPr>
          <w:rFonts w:hint="eastAsia"/>
        </w:rPr>
        <w:fldChar w:fldCharType="begin"/>
      </w:r>
      <w:r>
        <w:rPr>
          <w:rFonts w:hint="eastAsia"/>
        </w:rPr>
        <w:instrText xml:space="preserve"> </w:instrText>
      </w:r>
      <w:r>
        <w:instrText xml:space="preserve">PAGEREF _Toc241610330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"_Toc241610331" </w:instrText>
      </w:r>
      <w:r>
        <w:fldChar w:fldCharType="separate"/>
      </w:r>
      <w:r>
        <w:rPr>
          <w:rStyle w:val="34"/>
          <w:rFonts w:hint="eastAsia"/>
        </w:rPr>
        <w:t>附录C（规范性）</w:t>
      </w:r>
      <w:r>
        <w:rPr>
          <w:rStyle w:val="34"/>
        </w:rPr>
        <w:t xml:space="preserve"> </w:t>
      </w:r>
      <w:r>
        <w:rPr>
          <w:rStyle w:val="34"/>
          <w:rFonts w:hint="eastAsia"/>
        </w:rPr>
        <w:t xml:space="preserve"> 装饰装修系统检查、维修与验收技术要求</w:t>
      </w:r>
      <w:r>
        <w:rPr>
          <w:rFonts w:hint="eastAsia"/>
        </w:rPr>
        <w:tab/>
      </w:r>
      <w:r>
        <w:rPr>
          <w:rFonts w:hint="eastAsia"/>
        </w:rPr>
        <w:fldChar w:fldCharType="begin"/>
      </w:r>
      <w:r>
        <w:rPr>
          <w:rFonts w:hint="eastAsia"/>
        </w:rPr>
        <w:instrText xml:space="preserve"> </w:instrText>
      </w:r>
      <w:r>
        <w:instrText xml:space="preserve">PAGEREF _Toc241610331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"_Toc241610332" </w:instrText>
      </w:r>
      <w:r>
        <w:fldChar w:fldCharType="separate"/>
      </w:r>
      <w:r>
        <w:rPr>
          <w:rStyle w:val="34"/>
          <w:rFonts w:hint="eastAsia"/>
        </w:rPr>
        <w:t>C.1</w:t>
      </w:r>
      <w:r>
        <w:rPr>
          <w:rStyle w:val="34"/>
        </w:rPr>
        <w:t xml:space="preserve"> </w:t>
      </w:r>
      <w:r>
        <w:rPr>
          <w:rStyle w:val="34"/>
          <w:rFonts w:hint="eastAsia"/>
        </w:rPr>
        <w:t xml:space="preserve"> 一般规定和检查</w:t>
      </w:r>
      <w:r>
        <w:rPr>
          <w:rFonts w:hint="eastAsia"/>
        </w:rPr>
        <w:tab/>
      </w:r>
      <w:r>
        <w:rPr>
          <w:rFonts w:hint="eastAsia"/>
        </w:rPr>
        <w:fldChar w:fldCharType="begin"/>
      </w:r>
      <w:r>
        <w:rPr>
          <w:rFonts w:hint="eastAsia"/>
        </w:rPr>
        <w:instrText xml:space="preserve"> </w:instrText>
      </w:r>
      <w:r>
        <w:instrText xml:space="preserve">PAGEREF _Toc241610332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"_Toc241610333" </w:instrText>
      </w:r>
      <w:r>
        <w:fldChar w:fldCharType="separate"/>
      </w:r>
      <w:r>
        <w:rPr>
          <w:rStyle w:val="34"/>
          <w:rFonts w:hint="eastAsia"/>
        </w:rPr>
        <w:t>C.2</w:t>
      </w:r>
      <w:r>
        <w:rPr>
          <w:rStyle w:val="34"/>
        </w:rPr>
        <w:t xml:space="preserve"> </w:t>
      </w:r>
      <w:r>
        <w:rPr>
          <w:rStyle w:val="34"/>
          <w:rFonts w:hint="eastAsia"/>
        </w:rPr>
        <w:t xml:space="preserve"> 装饰装修系统维修</w:t>
      </w:r>
      <w:r>
        <w:rPr>
          <w:rFonts w:hint="eastAsia"/>
        </w:rPr>
        <w:tab/>
      </w:r>
      <w:r>
        <w:rPr>
          <w:rFonts w:hint="eastAsia"/>
        </w:rPr>
        <w:fldChar w:fldCharType="begin"/>
      </w:r>
      <w:r>
        <w:rPr>
          <w:rFonts w:hint="eastAsia"/>
        </w:rPr>
        <w:instrText xml:space="preserve"> </w:instrText>
      </w:r>
      <w:r>
        <w:instrText xml:space="preserve">PAGEREF _Toc241610333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"_Toc241610334" </w:instrText>
      </w:r>
      <w:r>
        <w:fldChar w:fldCharType="separate"/>
      </w:r>
      <w:r>
        <w:rPr>
          <w:rStyle w:val="34"/>
          <w:rFonts w:hint="eastAsia"/>
        </w:rPr>
        <w:t>C.3</w:t>
      </w:r>
      <w:r>
        <w:rPr>
          <w:rStyle w:val="34"/>
        </w:rPr>
        <w:t xml:space="preserve"> </w:t>
      </w:r>
      <w:r>
        <w:rPr>
          <w:rStyle w:val="34"/>
          <w:rFonts w:hint="eastAsia"/>
        </w:rPr>
        <w:t xml:space="preserve"> 装饰装修系统维修验收</w:t>
      </w:r>
      <w:r>
        <w:rPr>
          <w:rFonts w:hint="eastAsia"/>
        </w:rPr>
        <w:tab/>
      </w:r>
      <w:r>
        <w:rPr>
          <w:rFonts w:hint="eastAsia"/>
        </w:rPr>
        <w:fldChar w:fldCharType="begin"/>
      </w:r>
      <w:r>
        <w:rPr>
          <w:rFonts w:hint="eastAsia"/>
        </w:rPr>
        <w:instrText xml:space="preserve"> </w:instrText>
      </w:r>
      <w:r>
        <w:instrText xml:space="preserve">PAGEREF _Toc241610334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"_Toc241610335" </w:instrText>
      </w:r>
      <w:r>
        <w:fldChar w:fldCharType="separate"/>
      </w:r>
      <w:r>
        <w:rPr>
          <w:rStyle w:val="34"/>
          <w:rFonts w:hint="eastAsia"/>
        </w:rPr>
        <w:t>附录D（规范性）</w:t>
      </w:r>
      <w:r>
        <w:rPr>
          <w:rStyle w:val="34"/>
        </w:rPr>
        <w:t xml:space="preserve"> </w:t>
      </w:r>
      <w:r>
        <w:rPr>
          <w:rStyle w:val="34"/>
          <w:rFonts w:hint="eastAsia"/>
        </w:rPr>
        <w:t xml:space="preserve"> 给排水系统检查、维修与验收技术要求</w:t>
      </w:r>
      <w:r>
        <w:rPr>
          <w:rFonts w:hint="eastAsia"/>
        </w:rPr>
        <w:tab/>
      </w:r>
      <w:r>
        <w:rPr>
          <w:rFonts w:hint="eastAsia"/>
        </w:rPr>
        <w:fldChar w:fldCharType="begin"/>
      </w:r>
      <w:r>
        <w:rPr>
          <w:rFonts w:hint="eastAsia"/>
        </w:rPr>
        <w:instrText xml:space="preserve"> </w:instrText>
      </w:r>
      <w:r>
        <w:instrText xml:space="preserve">PAGEREF _Toc241610335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"_Toc241610336" </w:instrText>
      </w:r>
      <w:r>
        <w:fldChar w:fldCharType="separate"/>
      </w:r>
      <w:r>
        <w:rPr>
          <w:rStyle w:val="34"/>
          <w:rFonts w:hint="eastAsia"/>
        </w:rPr>
        <w:t>D.1</w:t>
      </w:r>
      <w:r>
        <w:rPr>
          <w:rStyle w:val="34"/>
        </w:rPr>
        <w:t xml:space="preserve"> </w:t>
      </w:r>
      <w:r>
        <w:rPr>
          <w:rStyle w:val="34"/>
          <w:rFonts w:hint="eastAsia"/>
        </w:rPr>
        <w:t xml:space="preserve"> 一般规定和检查</w:t>
      </w:r>
      <w:r>
        <w:rPr>
          <w:rFonts w:hint="eastAsia"/>
        </w:rPr>
        <w:tab/>
      </w:r>
      <w:r>
        <w:rPr>
          <w:rFonts w:hint="eastAsia"/>
        </w:rPr>
        <w:fldChar w:fldCharType="begin"/>
      </w:r>
      <w:r>
        <w:rPr>
          <w:rFonts w:hint="eastAsia"/>
        </w:rPr>
        <w:instrText xml:space="preserve"> </w:instrText>
      </w:r>
      <w:r>
        <w:instrText xml:space="preserve">PAGEREF _Toc241610336 \h</w:instrText>
      </w:r>
      <w:r>
        <w:rPr>
          <w:rFonts w:hint="eastAsia"/>
        </w:rPr>
        <w:instrText xml:space="preserve"> </w:instrText>
      </w:r>
      <w:r>
        <w:rPr>
          <w:rFonts w:hint="eastAsia"/>
        </w:rPr>
        <w:fldChar w:fldCharType="separate"/>
      </w:r>
      <w:r>
        <w:t>22</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"_Toc241610337" </w:instrText>
      </w:r>
      <w:r>
        <w:fldChar w:fldCharType="separate"/>
      </w:r>
      <w:r>
        <w:rPr>
          <w:rStyle w:val="34"/>
          <w:rFonts w:hint="eastAsia"/>
        </w:rPr>
        <w:t>D.2</w:t>
      </w:r>
      <w:r>
        <w:rPr>
          <w:rStyle w:val="34"/>
        </w:rPr>
        <w:t xml:space="preserve"> </w:t>
      </w:r>
      <w:r>
        <w:rPr>
          <w:rStyle w:val="34"/>
          <w:rFonts w:hint="eastAsia"/>
        </w:rPr>
        <w:t xml:space="preserve"> 给排水系统维修</w:t>
      </w:r>
      <w:r>
        <w:rPr>
          <w:rFonts w:hint="eastAsia"/>
        </w:rPr>
        <w:tab/>
      </w:r>
      <w:r>
        <w:rPr>
          <w:rFonts w:hint="eastAsia"/>
        </w:rPr>
        <w:fldChar w:fldCharType="begin"/>
      </w:r>
      <w:r>
        <w:rPr>
          <w:rFonts w:hint="eastAsia"/>
        </w:rPr>
        <w:instrText xml:space="preserve"> </w:instrText>
      </w:r>
      <w:r>
        <w:instrText xml:space="preserve">PAGEREF _Toc241610337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"_Toc241610338" </w:instrText>
      </w:r>
      <w:r>
        <w:fldChar w:fldCharType="separate"/>
      </w:r>
      <w:r>
        <w:rPr>
          <w:rStyle w:val="34"/>
          <w:rFonts w:hint="eastAsia"/>
        </w:rPr>
        <w:t>D.3</w:t>
      </w:r>
      <w:r>
        <w:rPr>
          <w:rStyle w:val="34"/>
        </w:rPr>
        <w:t xml:space="preserve"> </w:t>
      </w:r>
      <w:r>
        <w:rPr>
          <w:rStyle w:val="34"/>
          <w:rFonts w:hint="eastAsia"/>
        </w:rPr>
        <w:t xml:space="preserve"> 给排水系统维修常见设备材料选用</w:t>
      </w:r>
      <w:r>
        <w:rPr>
          <w:rFonts w:hint="eastAsia"/>
        </w:rPr>
        <w:tab/>
      </w:r>
      <w:r>
        <w:rPr>
          <w:rFonts w:hint="eastAsia"/>
        </w:rPr>
        <w:fldChar w:fldCharType="begin"/>
      </w:r>
      <w:r>
        <w:rPr>
          <w:rFonts w:hint="eastAsia"/>
        </w:rPr>
        <w:instrText xml:space="preserve"> </w:instrText>
      </w:r>
      <w:r>
        <w:instrText xml:space="preserve">PAGEREF _Toc241610338 \h</w:instrText>
      </w:r>
      <w:r>
        <w:rPr>
          <w:rFonts w:hint="eastAsia"/>
        </w:rPr>
        <w:instrText xml:space="preserve"> </w:instrText>
      </w:r>
      <w:r>
        <w:rPr>
          <w:rFonts w:hint="eastAsia"/>
        </w:rPr>
        <w:fldChar w:fldCharType="separate"/>
      </w:r>
      <w:r>
        <w:t>24</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"_Toc241610339" </w:instrText>
      </w:r>
      <w:r>
        <w:fldChar w:fldCharType="separate"/>
      </w:r>
      <w:r>
        <w:rPr>
          <w:rStyle w:val="34"/>
          <w:rFonts w:hint="eastAsia"/>
        </w:rPr>
        <w:t>D.4</w:t>
      </w:r>
      <w:r>
        <w:rPr>
          <w:rStyle w:val="34"/>
        </w:rPr>
        <w:t xml:space="preserve"> </w:t>
      </w:r>
      <w:r>
        <w:rPr>
          <w:rStyle w:val="34"/>
          <w:rFonts w:hint="eastAsia"/>
        </w:rPr>
        <w:t xml:space="preserve"> 给排水系统维修验收</w:t>
      </w:r>
      <w:r>
        <w:rPr>
          <w:rFonts w:hint="eastAsia"/>
        </w:rPr>
        <w:tab/>
      </w:r>
      <w:r>
        <w:rPr>
          <w:rFonts w:hint="eastAsia"/>
        </w:rPr>
        <w:fldChar w:fldCharType="begin"/>
      </w:r>
      <w:r>
        <w:rPr>
          <w:rFonts w:hint="eastAsia"/>
        </w:rPr>
        <w:instrText xml:space="preserve"> </w:instrText>
      </w:r>
      <w:r>
        <w:instrText xml:space="preserve">PAGEREF _Toc241610339 \h</w:instrText>
      </w:r>
      <w:r>
        <w:rPr>
          <w:rFonts w:hint="eastAsia"/>
        </w:rPr>
        <w:instrText xml:space="preserve"> </w:instrText>
      </w:r>
      <w:r>
        <w:rPr>
          <w:rFonts w:hint="eastAsia"/>
        </w:rPr>
        <w:fldChar w:fldCharType="separate"/>
      </w:r>
      <w:r>
        <w:t>25</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"_Toc241610340" </w:instrText>
      </w:r>
      <w:r>
        <w:fldChar w:fldCharType="separate"/>
      </w:r>
      <w:r>
        <w:rPr>
          <w:rStyle w:val="34"/>
          <w:rFonts w:hint="eastAsia"/>
        </w:rPr>
        <w:t>附录E（规范性）</w:t>
      </w:r>
      <w:r>
        <w:rPr>
          <w:rStyle w:val="34"/>
        </w:rPr>
        <w:t xml:space="preserve"> </w:t>
      </w:r>
      <w:r>
        <w:rPr>
          <w:rStyle w:val="34"/>
          <w:rFonts w:hint="eastAsia"/>
        </w:rPr>
        <w:t xml:space="preserve"> 通风和空调（供暖）系统检查、维修与维修</w:t>
      </w:r>
      <w:r>
        <w:rPr>
          <w:rFonts w:hint="eastAsia"/>
        </w:rPr>
        <w:tab/>
      </w:r>
      <w:r>
        <w:rPr>
          <w:rFonts w:hint="eastAsia"/>
        </w:rPr>
        <w:fldChar w:fldCharType="begin"/>
      </w:r>
      <w:r>
        <w:rPr>
          <w:rFonts w:hint="eastAsia"/>
        </w:rPr>
        <w:instrText xml:space="preserve"> </w:instrText>
      </w:r>
      <w:r>
        <w:instrText xml:space="preserve">PAGEREF _Toc241610340 \h</w:instrText>
      </w:r>
      <w:r>
        <w:rPr>
          <w:rFonts w:hint="eastAsia"/>
        </w:rPr>
        <w:instrText xml:space="preserve"> </w:instrText>
      </w:r>
      <w:r>
        <w:rPr>
          <w:rFonts w:hint="eastAsia"/>
        </w:rPr>
        <w:fldChar w:fldCharType="separate"/>
      </w:r>
      <w:r>
        <w:t>26</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"_Toc241610341" </w:instrText>
      </w:r>
      <w:r>
        <w:fldChar w:fldCharType="separate"/>
      </w:r>
      <w:r>
        <w:rPr>
          <w:rStyle w:val="34"/>
          <w:rFonts w:hint="eastAsia"/>
        </w:rPr>
        <w:t>E.1</w:t>
      </w:r>
      <w:r>
        <w:rPr>
          <w:rStyle w:val="34"/>
        </w:rPr>
        <w:t xml:space="preserve"> </w:t>
      </w:r>
      <w:r>
        <w:rPr>
          <w:rStyle w:val="34"/>
          <w:rFonts w:hint="eastAsia"/>
        </w:rPr>
        <w:t xml:space="preserve"> 一般规定和检查</w:t>
      </w:r>
      <w:r>
        <w:rPr>
          <w:rFonts w:hint="eastAsia"/>
        </w:rPr>
        <w:tab/>
      </w:r>
      <w:r>
        <w:rPr>
          <w:rFonts w:hint="eastAsia"/>
        </w:rPr>
        <w:fldChar w:fldCharType="begin"/>
      </w:r>
      <w:r>
        <w:rPr>
          <w:rFonts w:hint="eastAsia"/>
        </w:rPr>
        <w:instrText xml:space="preserve"> </w:instrText>
      </w:r>
      <w:r>
        <w:instrText xml:space="preserve">PAGEREF _Toc241610341 \h</w:instrText>
      </w:r>
      <w:r>
        <w:rPr>
          <w:rFonts w:hint="eastAsia"/>
        </w:rPr>
        <w:instrText xml:space="preserve"> </w:instrText>
      </w:r>
      <w:r>
        <w:rPr>
          <w:rFonts w:hint="eastAsia"/>
        </w:rPr>
        <w:fldChar w:fldCharType="separate"/>
      </w:r>
      <w:r>
        <w:t>26</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"_Toc241610342" </w:instrText>
      </w:r>
      <w:r>
        <w:fldChar w:fldCharType="separate"/>
      </w:r>
      <w:r>
        <w:rPr>
          <w:rStyle w:val="34"/>
          <w:rFonts w:hint="eastAsia"/>
        </w:rPr>
        <w:t>E.2</w:t>
      </w:r>
      <w:r>
        <w:rPr>
          <w:rStyle w:val="34"/>
        </w:rPr>
        <w:t xml:space="preserve"> </w:t>
      </w:r>
      <w:r>
        <w:rPr>
          <w:rStyle w:val="34"/>
          <w:rFonts w:hint="eastAsia"/>
        </w:rPr>
        <w:t xml:space="preserve"> 通风和空调系统维修</w:t>
      </w:r>
      <w:r>
        <w:rPr>
          <w:rFonts w:hint="eastAsia"/>
        </w:rPr>
        <w:tab/>
      </w:r>
      <w:r>
        <w:rPr>
          <w:rFonts w:hint="eastAsia"/>
        </w:rPr>
        <w:fldChar w:fldCharType="begin"/>
      </w:r>
      <w:r>
        <w:rPr>
          <w:rFonts w:hint="eastAsia"/>
        </w:rPr>
        <w:instrText xml:space="preserve"> </w:instrText>
      </w:r>
      <w:r>
        <w:instrText xml:space="preserve">PAGEREF _Toc241610342 \h</w:instrText>
      </w:r>
      <w:r>
        <w:rPr>
          <w:rFonts w:hint="eastAsia"/>
        </w:rPr>
        <w:instrText xml:space="preserve"> </w:instrText>
      </w:r>
      <w:r>
        <w:rPr>
          <w:rFonts w:hint="eastAsia"/>
        </w:rPr>
        <w:fldChar w:fldCharType="separate"/>
      </w:r>
      <w:r>
        <w:t>27</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"_Toc241610343" </w:instrText>
      </w:r>
      <w:r>
        <w:fldChar w:fldCharType="separate"/>
      </w:r>
      <w:r>
        <w:rPr>
          <w:rStyle w:val="34"/>
          <w:rFonts w:hint="eastAsia"/>
        </w:rPr>
        <w:t>E.3</w:t>
      </w:r>
      <w:r>
        <w:rPr>
          <w:rStyle w:val="34"/>
        </w:rPr>
        <w:t xml:space="preserve"> </w:t>
      </w:r>
      <w:r>
        <w:rPr>
          <w:rStyle w:val="34"/>
          <w:rFonts w:hint="eastAsia"/>
        </w:rPr>
        <w:t xml:space="preserve"> 通风和空调系统维修常见设备材料选用</w:t>
      </w:r>
      <w:r>
        <w:rPr>
          <w:rFonts w:hint="eastAsia"/>
        </w:rPr>
        <w:tab/>
      </w:r>
      <w:r>
        <w:rPr>
          <w:rFonts w:hint="eastAsia"/>
        </w:rPr>
        <w:fldChar w:fldCharType="begin"/>
      </w:r>
      <w:r>
        <w:rPr>
          <w:rFonts w:hint="eastAsia"/>
        </w:rPr>
        <w:instrText xml:space="preserve"> </w:instrText>
      </w:r>
      <w:r>
        <w:instrText xml:space="preserve">PAGEREF _Toc241610343 \h</w:instrText>
      </w:r>
      <w:r>
        <w:rPr>
          <w:rFonts w:hint="eastAsia"/>
        </w:rPr>
        <w:instrText xml:space="preserve"> </w:instrText>
      </w:r>
      <w:r>
        <w:rPr>
          <w:rFonts w:hint="eastAsia"/>
        </w:rPr>
        <w:fldChar w:fldCharType="separate"/>
      </w:r>
      <w:r>
        <w:t>28</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"_Toc241610344" </w:instrText>
      </w:r>
      <w:r>
        <w:fldChar w:fldCharType="separate"/>
      </w:r>
      <w:r>
        <w:rPr>
          <w:rStyle w:val="34"/>
          <w:rFonts w:hint="eastAsia"/>
        </w:rPr>
        <w:t>E.4</w:t>
      </w:r>
      <w:r>
        <w:rPr>
          <w:rStyle w:val="34"/>
        </w:rPr>
        <w:t xml:space="preserve"> </w:t>
      </w:r>
      <w:r>
        <w:rPr>
          <w:rStyle w:val="34"/>
          <w:rFonts w:hint="eastAsia"/>
        </w:rPr>
        <w:t xml:space="preserve"> 通风和空调系统维修验收</w:t>
      </w:r>
      <w:r>
        <w:rPr>
          <w:rFonts w:hint="eastAsia"/>
        </w:rPr>
        <w:tab/>
      </w:r>
      <w:r>
        <w:rPr>
          <w:rFonts w:hint="eastAsia"/>
        </w:rPr>
        <w:fldChar w:fldCharType="begin"/>
      </w:r>
      <w:r>
        <w:rPr>
          <w:rFonts w:hint="eastAsia"/>
        </w:rPr>
        <w:instrText xml:space="preserve"> </w:instrText>
      </w:r>
      <w:r>
        <w:instrText xml:space="preserve">PAGEREF _Toc241610344 \h</w:instrText>
      </w:r>
      <w:r>
        <w:rPr>
          <w:rFonts w:hint="eastAsia"/>
        </w:rPr>
        <w:instrText xml:space="preserve"> </w:instrText>
      </w:r>
      <w:r>
        <w:rPr>
          <w:rFonts w:hint="eastAsia"/>
        </w:rPr>
        <w:fldChar w:fldCharType="separate"/>
      </w:r>
      <w:r>
        <w:t>29</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"_Toc241610345" </w:instrText>
      </w:r>
      <w:r>
        <w:fldChar w:fldCharType="separate"/>
      </w:r>
      <w:r>
        <w:rPr>
          <w:rStyle w:val="34"/>
          <w:rFonts w:hint="eastAsia"/>
        </w:rPr>
        <w:t>附录F（规范性）</w:t>
      </w:r>
      <w:r>
        <w:rPr>
          <w:rStyle w:val="34"/>
        </w:rPr>
        <w:t xml:space="preserve"> </w:t>
      </w:r>
      <w:r>
        <w:rPr>
          <w:rStyle w:val="34"/>
          <w:rFonts w:hint="eastAsia"/>
        </w:rPr>
        <w:t xml:space="preserve"> 电气系统检查、维修与验收技术要求</w:t>
      </w:r>
      <w:r>
        <w:rPr>
          <w:rFonts w:hint="eastAsia"/>
        </w:rPr>
        <w:tab/>
      </w:r>
      <w:r>
        <w:rPr>
          <w:rFonts w:hint="eastAsia"/>
        </w:rPr>
        <w:fldChar w:fldCharType="begin"/>
      </w:r>
      <w:r>
        <w:rPr>
          <w:rFonts w:hint="eastAsia"/>
        </w:rPr>
        <w:instrText xml:space="preserve"> </w:instrText>
      </w:r>
      <w:r>
        <w:instrText xml:space="preserve">PAGEREF _Toc241610345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"_Toc241610346" </w:instrText>
      </w:r>
      <w:r>
        <w:fldChar w:fldCharType="separate"/>
      </w:r>
      <w:r>
        <w:rPr>
          <w:rStyle w:val="34"/>
          <w:rFonts w:hint="eastAsia"/>
        </w:rPr>
        <w:t>F.1</w:t>
      </w:r>
      <w:r>
        <w:rPr>
          <w:rStyle w:val="34"/>
        </w:rPr>
        <w:t xml:space="preserve"> </w:t>
      </w:r>
      <w:r>
        <w:rPr>
          <w:rStyle w:val="34"/>
          <w:rFonts w:hint="eastAsia"/>
        </w:rPr>
        <w:t xml:space="preserve"> 一般规定与检查</w:t>
      </w:r>
      <w:r>
        <w:rPr>
          <w:rFonts w:hint="eastAsia"/>
        </w:rPr>
        <w:tab/>
      </w:r>
      <w:r>
        <w:rPr>
          <w:rFonts w:hint="eastAsia"/>
        </w:rPr>
        <w:fldChar w:fldCharType="begin"/>
      </w:r>
      <w:r>
        <w:rPr>
          <w:rFonts w:hint="eastAsia"/>
        </w:rPr>
        <w:instrText xml:space="preserve"> </w:instrText>
      </w:r>
      <w:r>
        <w:instrText xml:space="preserve">PAGEREF _Toc241610346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"_Toc241610347" </w:instrText>
      </w:r>
      <w:r>
        <w:fldChar w:fldCharType="separate"/>
      </w:r>
      <w:r>
        <w:rPr>
          <w:rStyle w:val="34"/>
          <w:rFonts w:hint="eastAsia"/>
        </w:rPr>
        <w:t>F.2</w:t>
      </w:r>
      <w:r>
        <w:rPr>
          <w:rStyle w:val="34"/>
        </w:rPr>
        <w:t xml:space="preserve"> </w:t>
      </w:r>
      <w:r>
        <w:rPr>
          <w:rStyle w:val="34"/>
          <w:rFonts w:hint="eastAsia"/>
        </w:rPr>
        <w:t xml:space="preserve"> 电气系统维修原则</w:t>
      </w:r>
      <w:r>
        <w:rPr>
          <w:rFonts w:hint="eastAsia"/>
        </w:rPr>
        <w:tab/>
      </w:r>
      <w:r>
        <w:rPr>
          <w:rFonts w:hint="eastAsia"/>
        </w:rPr>
        <w:fldChar w:fldCharType="begin"/>
      </w:r>
      <w:r>
        <w:rPr>
          <w:rFonts w:hint="eastAsia"/>
        </w:rPr>
        <w:instrText xml:space="preserve"> </w:instrText>
      </w:r>
      <w:r>
        <w:instrText xml:space="preserve">PAGEREF _Toc241610347 \h</w:instrText>
      </w:r>
      <w:r>
        <w:rPr>
          <w:rFonts w:hint="eastAsia"/>
        </w:rPr>
        <w:instrText xml:space="preserve"> </w:instrText>
      </w:r>
      <w:r>
        <w:rPr>
          <w:rFonts w:hint="eastAsia"/>
        </w:rPr>
        <w:fldChar w:fldCharType="separate"/>
      </w:r>
      <w:r>
        <w:t>31</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"_Toc241610348" </w:instrText>
      </w:r>
      <w:r>
        <w:fldChar w:fldCharType="separate"/>
      </w:r>
      <w:r>
        <w:rPr>
          <w:rStyle w:val="34"/>
          <w:rFonts w:hint="eastAsia"/>
        </w:rPr>
        <w:t>F.3</w:t>
      </w:r>
      <w:r>
        <w:rPr>
          <w:rStyle w:val="34"/>
        </w:rPr>
        <w:t xml:space="preserve"> </w:t>
      </w:r>
      <w:r>
        <w:rPr>
          <w:rStyle w:val="34"/>
          <w:rFonts w:hint="eastAsia"/>
        </w:rPr>
        <w:t xml:space="preserve"> 电气系统维修验收</w:t>
      </w:r>
      <w:r>
        <w:rPr>
          <w:rFonts w:hint="eastAsia"/>
        </w:rPr>
        <w:tab/>
      </w:r>
      <w:r>
        <w:rPr>
          <w:rFonts w:hint="eastAsia"/>
        </w:rPr>
        <w:fldChar w:fldCharType="begin"/>
      </w:r>
      <w:r>
        <w:rPr>
          <w:rFonts w:hint="eastAsia"/>
        </w:rPr>
        <w:instrText xml:space="preserve"> </w:instrText>
      </w:r>
      <w:r>
        <w:instrText xml:space="preserve">PAGEREF _Toc241610348 \h</w:instrText>
      </w:r>
      <w:r>
        <w:rPr>
          <w:rFonts w:hint="eastAsia"/>
        </w:rPr>
        <w:instrText xml:space="preserve"> </w:instrText>
      </w:r>
      <w:r>
        <w:rPr>
          <w:rFonts w:hint="eastAsia"/>
        </w:rPr>
        <w:fldChar w:fldCharType="separate"/>
      </w:r>
      <w:r>
        <w:t>32</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"_Toc241610349" </w:instrText>
      </w:r>
      <w:r>
        <w:fldChar w:fldCharType="separate"/>
      </w:r>
      <w:r>
        <w:rPr>
          <w:rStyle w:val="34"/>
          <w:rFonts w:hint="eastAsia"/>
        </w:rPr>
        <w:t>附录G（规范性）</w:t>
      </w:r>
      <w:r>
        <w:rPr>
          <w:rStyle w:val="34"/>
        </w:rPr>
        <w:t xml:space="preserve"> </w:t>
      </w:r>
      <w:r>
        <w:rPr>
          <w:rStyle w:val="34"/>
          <w:rFonts w:hint="eastAsia"/>
        </w:rPr>
        <w:t xml:space="preserve"> 电梯系统检查、维修与验收技术要求</w:t>
      </w:r>
      <w:r>
        <w:rPr>
          <w:rFonts w:hint="eastAsia"/>
        </w:rPr>
        <w:tab/>
      </w:r>
      <w:r>
        <w:rPr>
          <w:rFonts w:hint="eastAsia"/>
        </w:rPr>
        <w:fldChar w:fldCharType="begin"/>
      </w:r>
      <w:r>
        <w:rPr>
          <w:rFonts w:hint="eastAsia"/>
        </w:rPr>
        <w:instrText xml:space="preserve"> </w:instrText>
      </w:r>
      <w:r>
        <w:instrText xml:space="preserve">PAGEREF _Toc241610349 \h</w:instrText>
      </w:r>
      <w:r>
        <w:rPr>
          <w:rFonts w:hint="eastAsia"/>
        </w:rPr>
        <w:instrText xml:space="preserve"> </w:instrText>
      </w:r>
      <w:r>
        <w:rPr>
          <w:rFonts w:hint="eastAsia"/>
        </w:rPr>
        <w:fldChar w:fldCharType="separate"/>
      </w:r>
      <w:r>
        <w:t>33</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"_Toc241610350" </w:instrText>
      </w:r>
      <w:r>
        <w:fldChar w:fldCharType="separate"/>
      </w:r>
      <w:r>
        <w:rPr>
          <w:rStyle w:val="34"/>
          <w:rFonts w:hint="eastAsia"/>
        </w:rPr>
        <w:t>G.1</w:t>
      </w:r>
      <w:r>
        <w:rPr>
          <w:rStyle w:val="34"/>
        </w:rPr>
        <w:t xml:space="preserve"> </w:t>
      </w:r>
      <w:r>
        <w:rPr>
          <w:rStyle w:val="34"/>
          <w:rFonts w:hint="eastAsia"/>
        </w:rPr>
        <w:t xml:space="preserve"> 一般规定与检查</w:t>
      </w:r>
      <w:r>
        <w:rPr>
          <w:rFonts w:hint="eastAsia"/>
        </w:rPr>
        <w:tab/>
      </w:r>
      <w:r>
        <w:rPr>
          <w:rFonts w:hint="eastAsia"/>
        </w:rPr>
        <w:fldChar w:fldCharType="begin"/>
      </w:r>
      <w:r>
        <w:rPr>
          <w:rFonts w:hint="eastAsia"/>
        </w:rPr>
        <w:instrText xml:space="preserve"> </w:instrText>
      </w:r>
      <w:r>
        <w:instrText xml:space="preserve">PAGEREF _Toc241610350 \h</w:instrText>
      </w:r>
      <w:r>
        <w:rPr>
          <w:rFonts w:hint="eastAsia"/>
        </w:rPr>
        <w:instrText xml:space="preserve"> </w:instrText>
      </w:r>
      <w:r>
        <w:rPr>
          <w:rFonts w:hint="eastAsia"/>
        </w:rPr>
        <w:fldChar w:fldCharType="separate"/>
      </w:r>
      <w:r>
        <w:t>33</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"_Toc241610351" </w:instrText>
      </w:r>
      <w:r>
        <w:fldChar w:fldCharType="separate"/>
      </w:r>
      <w:r>
        <w:rPr>
          <w:rStyle w:val="34"/>
          <w:rFonts w:hint="eastAsia"/>
        </w:rPr>
        <w:t>G.2</w:t>
      </w:r>
      <w:r>
        <w:rPr>
          <w:rStyle w:val="34"/>
        </w:rPr>
        <w:t xml:space="preserve"> </w:t>
      </w:r>
      <w:r>
        <w:rPr>
          <w:rStyle w:val="34"/>
          <w:rFonts w:hint="eastAsia"/>
        </w:rPr>
        <w:t xml:space="preserve"> 电梯系统维护维修</w:t>
      </w:r>
      <w:r>
        <w:rPr>
          <w:rFonts w:hint="eastAsia"/>
        </w:rPr>
        <w:tab/>
      </w:r>
      <w:r>
        <w:rPr>
          <w:rFonts w:hint="eastAsia"/>
        </w:rPr>
        <w:fldChar w:fldCharType="begin"/>
      </w:r>
      <w:r>
        <w:rPr>
          <w:rFonts w:hint="eastAsia"/>
        </w:rPr>
        <w:instrText xml:space="preserve"> </w:instrText>
      </w:r>
      <w:r>
        <w:instrText xml:space="preserve">PAGEREF _Toc241610351 \h</w:instrText>
      </w:r>
      <w:r>
        <w:rPr>
          <w:rFonts w:hint="eastAsia"/>
        </w:rPr>
        <w:instrText xml:space="preserve"> </w:instrText>
      </w:r>
      <w:r>
        <w:rPr>
          <w:rFonts w:hint="eastAsia"/>
        </w:rPr>
        <w:fldChar w:fldCharType="separate"/>
      </w:r>
      <w:r>
        <w:t>34</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"_Toc241610352" </w:instrText>
      </w:r>
      <w:r>
        <w:fldChar w:fldCharType="separate"/>
      </w:r>
      <w:r>
        <w:rPr>
          <w:rStyle w:val="34"/>
          <w:rFonts w:hint="eastAsia"/>
        </w:rPr>
        <w:t>G.3</w:t>
      </w:r>
      <w:r>
        <w:rPr>
          <w:rStyle w:val="34"/>
        </w:rPr>
        <w:t xml:space="preserve"> </w:t>
      </w:r>
      <w:r>
        <w:rPr>
          <w:rStyle w:val="34"/>
          <w:rFonts w:hint="eastAsia"/>
        </w:rPr>
        <w:t xml:space="preserve"> 电梯系统维修验收</w:t>
      </w:r>
      <w:r>
        <w:rPr>
          <w:rFonts w:hint="eastAsia"/>
        </w:rPr>
        <w:tab/>
      </w:r>
      <w:r>
        <w:rPr>
          <w:rFonts w:hint="eastAsia"/>
        </w:rPr>
        <w:fldChar w:fldCharType="begin"/>
      </w:r>
      <w:r>
        <w:rPr>
          <w:rFonts w:hint="eastAsia"/>
        </w:rPr>
        <w:instrText xml:space="preserve"> </w:instrText>
      </w:r>
      <w:r>
        <w:instrText xml:space="preserve">PAGEREF _Toc241610352 \h</w:instrText>
      </w:r>
      <w:r>
        <w:rPr>
          <w:rFonts w:hint="eastAsia"/>
        </w:rPr>
        <w:instrText xml:space="preserve"> </w:instrText>
      </w:r>
      <w:r>
        <w:rPr>
          <w:rFonts w:hint="eastAsia"/>
        </w:rPr>
        <w:fldChar w:fldCharType="separate"/>
      </w:r>
      <w:r>
        <w:t>36</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"_Toc241610353" </w:instrText>
      </w:r>
      <w:r>
        <w:fldChar w:fldCharType="separate"/>
      </w:r>
      <w:r>
        <w:rPr>
          <w:rStyle w:val="34"/>
          <w:rFonts w:hint="eastAsia"/>
        </w:rPr>
        <w:t>附录H（规范性）</w:t>
      </w:r>
      <w:r>
        <w:rPr>
          <w:rStyle w:val="34"/>
        </w:rPr>
        <w:t xml:space="preserve"> </w:t>
      </w:r>
      <w:r>
        <w:rPr>
          <w:rStyle w:val="34"/>
          <w:rFonts w:hint="eastAsia"/>
        </w:rPr>
        <w:t xml:space="preserve"> 消防系统检查、维修与验收技术要求</w:t>
      </w:r>
      <w:r>
        <w:rPr>
          <w:rFonts w:hint="eastAsia"/>
        </w:rPr>
        <w:tab/>
      </w:r>
      <w:r>
        <w:rPr>
          <w:rFonts w:hint="eastAsia"/>
        </w:rPr>
        <w:fldChar w:fldCharType="begin"/>
      </w:r>
      <w:r>
        <w:rPr>
          <w:rFonts w:hint="eastAsia"/>
        </w:rPr>
        <w:instrText xml:space="preserve"> </w:instrText>
      </w:r>
      <w:r>
        <w:instrText xml:space="preserve">PAGEREF _Toc241610353 \h</w:instrText>
      </w:r>
      <w:r>
        <w:rPr>
          <w:rFonts w:hint="eastAsia"/>
        </w:rPr>
        <w:instrText xml:space="preserve"> </w:instrText>
      </w:r>
      <w:r>
        <w:rPr>
          <w:rFonts w:hint="eastAsia"/>
        </w:rPr>
        <w:fldChar w:fldCharType="separate"/>
      </w:r>
      <w:r>
        <w:t>37</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"_Toc241610354" </w:instrText>
      </w:r>
      <w:r>
        <w:fldChar w:fldCharType="separate"/>
      </w:r>
      <w:r>
        <w:rPr>
          <w:rStyle w:val="34"/>
          <w:rFonts w:hint="eastAsia"/>
        </w:rPr>
        <w:t>H.1</w:t>
      </w:r>
      <w:r>
        <w:rPr>
          <w:rStyle w:val="34"/>
        </w:rPr>
        <w:t xml:space="preserve"> </w:t>
      </w:r>
      <w:r>
        <w:rPr>
          <w:rStyle w:val="34"/>
          <w:rFonts w:hint="eastAsia"/>
        </w:rPr>
        <w:t xml:space="preserve"> 一般规定与检查</w:t>
      </w:r>
      <w:r>
        <w:rPr>
          <w:rFonts w:hint="eastAsia"/>
        </w:rPr>
        <w:tab/>
      </w:r>
      <w:r>
        <w:rPr>
          <w:rFonts w:hint="eastAsia"/>
        </w:rPr>
        <w:fldChar w:fldCharType="begin"/>
      </w:r>
      <w:r>
        <w:rPr>
          <w:rFonts w:hint="eastAsia"/>
        </w:rPr>
        <w:instrText xml:space="preserve"> </w:instrText>
      </w:r>
      <w:r>
        <w:instrText xml:space="preserve">PAGEREF _Toc241610354 \h</w:instrText>
      </w:r>
      <w:r>
        <w:rPr>
          <w:rFonts w:hint="eastAsia"/>
        </w:rPr>
        <w:instrText xml:space="preserve"> </w:instrText>
      </w:r>
      <w:r>
        <w:rPr>
          <w:rFonts w:hint="eastAsia"/>
        </w:rPr>
        <w:fldChar w:fldCharType="separate"/>
      </w:r>
      <w:r>
        <w:t>37</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"_Toc241610355" </w:instrText>
      </w:r>
      <w:r>
        <w:fldChar w:fldCharType="separate"/>
      </w:r>
      <w:r>
        <w:rPr>
          <w:rStyle w:val="34"/>
          <w:rFonts w:hint="eastAsia"/>
        </w:rPr>
        <w:t>H.2</w:t>
      </w:r>
      <w:r>
        <w:rPr>
          <w:rStyle w:val="34"/>
        </w:rPr>
        <w:t xml:space="preserve"> </w:t>
      </w:r>
      <w:r>
        <w:rPr>
          <w:rStyle w:val="34"/>
          <w:rFonts w:hint="eastAsia"/>
        </w:rPr>
        <w:t xml:space="preserve"> 消防系统维修与验收</w:t>
      </w:r>
      <w:r>
        <w:rPr>
          <w:rFonts w:hint="eastAsia"/>
        </w:rPr>
        <w:tab/>
      </w:r>
      <w:r>
        <w:rPr>
          <w:rFonts w:hint="eastAsia"/>
        </w:rPr>
        <w:fldChar w:fldCharType="begin"/>
      </w:r>
      <w:r>
        <w:rPr>
          <w:rFonts w:hint="eastAsia"/>
        </w:rPr>
        <w:instrText xml:space="preserve"> </w:instrText>
      </w:r>
      <w:r>
        <w:instrText xml:space="preserve">PAGEREF _Toc241610355 \h</w:instrText>
      </w:r>
      <w:r>
        <w:rPr>
          <w:rFonts w:hint="eastAsia"/>
        </w:rPr>
        <w:instrText xml:space="preserve"> </w:instrText>
      </w:r>
      <w:r>
        <w:rPr>
          <w:rFonts w:hint="eastAsia"/>
        </w:rPr>
        <w:fldChar w:fldCharType="separate"/>
      </w:r>
      <w:r>
        <w:t>37</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"_Toc241610356" </w:instrText>
      </w:r>
      <w:r>
        <w:fldChar w:fldCharType="separate"/>
      </w:r>
      <w:r>
        <w:rPr>
          <w:rStyle w:val="34"/>
          <w:rFonts w:hint="eastAsia"/>
        </w:rPr>
        <w:t>附录I（规范性）</w:t>
      </w:r>
      <w:r>
        <w:rPr>
          <w:rStyle w:val="34"/>
        </w:rPr>
        <w:t xml:space="preserve"> </w:t>
      </w:r>
      <w:r>
        <w:rPr>
          <w:rStyle w:val="34"/>
          <w:rFonts w:hint="eastAsia"/>
        </w:rPr>
        <w:t xml:space="preserve"> 建筑智能化系统检查、维修与验收技术要求</w:t>
      </w:r>
      <w:r>
        <w:rPr>
          <w:rFonts w:hint="eastAsia"/>
        </w:rPr>
        <w:tab/>
      </w:r>
      <w:r>
        <w:rPr>
          <w:rFonts w:hint="eastAsia"/>
        </w:rPr>
        <w:fldChar w:fldCharType="begin"/>
      </w:r>
      <w:r>
        <w:rPr>
          <w:rFonts w:hint="eastAsia"/>
        </w:rPr>
        <w:instrText xml:space="preserve"> </w:instrText>
      </w:r>
      <w:r>
        <w:instrText xml:space="preserve">PAGEREF _Toc241610356 \h</w:instrText>
      </w:r>
      <w:r>
        <w:rPr>
          <w:rFonts w:hint="eastAsia"/>
        </w:rPr>
        <w:instrText xml:space="preserve"> </w:instrText>
      </w:r>
      <w:r>
        <w:rPr>
          <w:rFonts w:hint="eastAsia"/>
        </w:rPr>
        <w:fldChar w:fldCharType="separate"/>
      </w:r>
      <w:r>
        <w:t>39</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"_Toc241610357" </w:instrText>
      </w:r>
      <w:r>
        <w:fldChar w:fldCharType="separate"/>
      </w:r>
      <w:r>
        <w:rPr>
          <w:rStyle w:val="34"/>
          <w:rFonts w:hint="eastAsia"/>
        </w:rPr>
        <w:t>I.1</w:t>
      </w:r>
      <w:r>
        <w:rPr>
          <w:rStyle w:val="34"/>
        </w:rPr>
        <w:t xml:space="preserve"> </w:t>
      </w:r>
      <w:r>
        <w:rPr>
          <w:rStyle w:val="34"/>
          <w:rFonts w:hint="eastAsia"/>
        </w:rPr>
        <w:t xml:space="preserve"> 一般规定与检查</w:t>
      </w:r>
      <w:r>
        <w:rPr>
          <w:rFonts w:hint="eastAsia"/>
        </w:rPr>
        <w:tab/>
      </w:r>
      <w:r>
        <w:rPr>
          <w:rFonts w:hint="eastAsia"/>
        </w:rPr>
        <w:fldChar w:fldCharType="begin"/>
      </w:r>
      <w:r>
        <w:rPr>
          <w:rFonts w:hint="eastAsia"/>
        </w:rPr>
        <w:instrText xml:space="preserve"> </w:instrText>
      </w:r>
      <w:r>
        <w:instrText xml:space="preserve">PAGEREF _Toc241610357 \h</w:instrText>
      </w:r>
      <w:r>
        <w:rPr>
          <w:rFonts w:hint="eastAsia"/>
        </w:rPr>
        <w:instrText xml:space="preserve"> </w:instrText>
      </w:r>
      <w:r>
        <w:rPr>
          <w:rFonts w:hint="eastAsia"/>
        </w:rPr>
        <w:fldChar w:fldCharType="separate"/>
      </w:r>
      <w:r>
        <w:t>39</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"_Toc241610358" </w:instrText>
      </w:r>
      <w:r>
        <w:fldChar w:fldCharType="separate"/>
      </w:r>
      <w:r>
        <w:rPr>
          <w:rStyle w:val="34"/>
          <w:rFonts w:hint="eastAsia"/>
        </w:rPr>
        <w:t>I.2</w:t>
      </w:r>
      <w:r>
        <w:rPr>
          <w:rStyle w:val="34"/>
        </w:rPr>
        <w:t xml:space="preserve"> </w:t>
      </w:r>
      <w:r>
        <w:rPr>
          <w:rStyle w:val="34"/>
          <w:rFonts w:hint="eastAsia"/>
        </w:rPr>
        <w:t xml:space="preserve"> 建筑智能化系统维修</w:t>
      </w:r>
      <w:r>
        <w:rPr>
          <w:rFonts w:hint="eastAsia"/>
        </w:rPr>
        <w:tab/>
      </w:r>
      <w:r>
        <w:rPr>
          <w:rFonts w:hint="eastAsia"/>
        </w:rPr>
        <w:fldChar w:fldCharType="begin"/>
      </w:r>
      <w:r>
        <w:rPr>
          <w:rFonts w:hint="eastAsia"/>
        </w:rPr>
        <w:instrText xml:space="preserve"> </w:instrText>
      </w:r>
      <w:r>
        <w:instrText xml:space="preserve">PAGEREF _Toc241610358 \h</w:instrText>
      </w:r>
      <w:r>
        <w:rPr>
          <w:rFonts w:hint="eastAsia"/>
        </w:rPr>
        <w:instrText xml:space="preserve"> </w:instrText>
      </w:r>
      <w:r>
        <w:rPr>
          <w:rFonts w:hint="eastAsia"/>
        </w:rPr>
        <w:fldChar w:fldCharType="separate"/>
      </w:r>
      <w:r>
        <w:t>40</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"_Toc241610359" </w:instrText>
      </w:r>
      <w:r>
        <w:fldChar w:fldCharType="separate"/>
      </w:r>
      <w:r>
        <w:rPr>
          <w:rStyle w:val="34"/>
          <w:rFonts w:hint="eastAsia"/>
        </w:rPr>
        <w:t>I.3</w:t>
      </w:r>
      <w:r>
        <w:rPr>
          <w:rStyle w:val="34"/>
        </w:rPr>
        <w:t xml:space="preserve"> </w:t>
      </w:r>
      <w:r>
        <w:rPr>
          <w:rStyle w:val="34"/>
          <w:rFonts w:hint="eastAsia"/>
        </w:rPr>
        <w:t xml:space="preserve"> 建筑智能化系统验收</w:t>
      </w:r>
      <w:r>
        <w:rPr>
          <w:rFonts w:hint="eastAsia"/>
        </w:rPr>
        <w:tab/>
      </w:r>
      <w:r>
        <w:rPr>
          <w:rFonts w:hint="eastAsia"/>
        </w:rPr>
        <w:fldChar w:fldCharType="begin"/>
      </w:r>
      <w:r>
        <w:rPr>
          <w:rFonts w:hint="eastAsia"/>
        </w:rPr>
        <w:instrText xml:space="preserve"> </w:instrText>
      </w:r>
      <w:r>
        <w:instrText xml:space="preserve">PAGEREF _Toc241610359 \h</w:instrText>
      </w:r>
      <w:r>
        <w:rPr>
          <w:rFonts w:hint="eastAsia"/>
        </w:rPr>
        <w:instrText xml:space="preserve"> </w:instrText>
      </w:r>
      <w:r>
        <w:rPr>
          <w:rFonts w:hint="eastAsia"/>
        </w:rPr>
        <w:fldChar w:fldCharType="separate"/>
      </w:r>
      <w:r>
        <w:t>41</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"_Toc241610360" </w:instrText>
      </w:r>
      <w:r>
        <w:fldChar w:fldCharType="separate"/>
      </w:r>
      <w:r>
        <w:rPr>
          <w:rStyle w:val="34"/>
          <w:rFonts w:hint="eastAsia"/>
        </w:rPr>
        <w:t>附录J（规范性）</w:t>
      </w:r>
      <w:r>
        <w:rPr>
          <w:rStyle w:val="34"/>
        </w:rPr>
        <w:t xml:space="preserve"> </w:t>
      </w:r>
      <w:r>
        <w:rPr>
          <w:rStyle w:val="34"/>
          <w:rFonts w:hint="eastAsia"/>
        </w:rPr>
        <w:t xml:space="preserve"> 建筑节能与可再生能源项目检查、维修与验收技术要求</w:t>
      </w:r>
      <w:r>
        <w:rPr>
          <w:rFonts w:hint="eastAsia"/>
        </w:rPr>
        <w:tab/>
      </w:r>
      <w:r>
        <w:rPr>
          <w:rFonts w:hint="eastAsia"/>
        </w:rPr>
        <w:fldChar w:fldCharType="begin"/>
      </w:r>
      <w:r>
        <w:rPr>
          <w:rFonts w:hint="eastAsia"/>
        </w:rPr>
        <w:instrText xml:space="preserve"> </w:instrText>
      </w:r>
      <w:r>
        <w:instrText xml:space="preserve">PAGEREF _Toc241610360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"_Toc241610361" </w:instrText>
      </w:r>
      <w:r>
        <w:fldChar w:fldCharType="separate"/>
      </w:r>
      <w:r>
        <w:rPr>
          <w:rStyle w:val="34"/>
          <w:rFonts w:hint="eastAsia"/>
        </w:rPr>
        <w:t>J.1</w:t>
      </w:r>
      <w:r>
        <w:rPr>
          <w:rStyle w:val="34"/>
        </w:rPr>
        <w:t xml:space="preserve"> </w:t>
      </w:r>
      <w:r>
        <w:rPr>
          <w:rStyle w:val="34"/>
          <w:rFonts w:hint="eastAsia"/>
        </w:rPr>
        <w:t xml:space="preserve"> 一般规定与检查</w:t>
      </w:r>
      <w:r>
        <w:rPr>
          <w:rFonts w:hint="eastAsia"/>
        </w:rPr>
        <w:tab/>
      </w:r>
      <w:r>
        <w:rPr>
          <w:rFonts w:hint="eastAsia"/>
        </w:rPr>
        <w:fldChar w:fldCharType="begin"/>
      </w:r>
      <w:r>
        <w:rPr>
          <w:rFonts w:hint="eastAsia"/>
        </w:rPr>
        <w:instrText xml:space="preserve"> </w:instrText>
      </w:r>
      <w:r>
        <w:instrText xml:space="preserve">PAGEREF _Toc241610361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"_Toc241610362" </w:instrText>
      </w:r>
      <w:r>
        <w:fldChar w:fldCharType="separate"/>
      </w:r>
      <w:r>
        <w:rPr>
          <w:rStyle w:val="34"/>
          <w:rFonts w:hint="eastAsia"/>
        </w:rPr>
        <w:t>J.2</w:t>
      </w:r>
      <w:r>
        <w:rPr>
          <w:rStyle w:val="34"/>
        </w:rPr>
        <w:t xml:space="preserve"> </w:t>
      </w:r>
      <w:r>
        <w:rPr>
          <w:rStyle w:val="34"/>
          <w:rFonts w:hint="eastAsia"/>
        </w:rPr>
        <w:t xml:space="preserve"> 围护结构节能系统维修</w:t>
      </w:r>
      <w:r>
        <w:rPr>
          <w:rFonts w:hint="eastAsia"/>
        </w:rPr>
        <w:tab/>
      </w:r>
      <w:r>
        <w:rPr>
          <w:rFonts w:hint="eastAsia"/>
        </w:rPr>
        <w:fldChar w:fldCharType="begin"/>
      </w:r>
      <w:r>
        <w:rPr>
          <w:rFonts w:hint="eastAsia"/>
        </w:rPr>
        <w:instrText xml:space="preserve"> </w:instrText>
      </w:r>
      <w:r>
        <w:instrText xml:space="preserve">PAGEREF _Toc241610362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"_Toc241610363" </w:instrText>
      </w:r>
      <w:r>
        <w:fldChar w:fldCharType="separate"/>
      </w:r>
      <w:r>
        <w:rPr>
          <w:rStyle w:val="34"/>
          <w:rFonts w:hint="eastAsia"/>
        </w:rPr>
        <w:t>J.3</w:t>
      </w:r>
      <w:r>
        <w:rPr>
          <w:rStyle w:val="34"/>
        </w:rPr>
        <w:t xml:space="preserve"> </w:t>
      </w:r>
      <w:r>
        <w:rPr>
          <w:rStyle w:val="34"/>
          <w:rFonts w:hint="eastAsia"/>
        </w:rPr>
        <w:t xml:space="preserve"> 建筑设备节能维修</w:t>
      </w:r>
      <w:r>
        <w:rPr>
          <w:rFonts w:hint="eastAsia"/>
        </w:rPr>
        <w:tab/>
      </w:r>
      <w:r>
        <w:rPr>
          <w:rFonts w:hint="eastAsia"/>
        </w:rPr>
        <w:fldChar w:fldCharType="begin"/>
      </w:r>
      <w:r>
        <w:rPr>
          <w:rFonts w:hint="eastAsia"/>
        </w:rPr>
        <w:instrText xml:space="preserve"> </w:instrText>
      </w:r>
      <w:r>
        <w:instrText xml:space="preserve">PAGEREF _Toc241610363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"_Toc241610364" </w:instrText>
      </w:r>
      <w:r>
        <w:fldChar w:fldCharType="separate"/>
      </w:r>
      <w:r>
        <w:rPr>
          <w:rStyle w:val="34"/>
          <w:rFonts w:hint="eastAsia"/>
        </w:rPr>
        <w:t>附录K（规范性）</w:t>
      </w:r>
      <w:r>
        <w:rPr>
          <w:rStyle w:val="34"/>
        </w:rPr>
        <w:t xml:space="preserve"> </w:t>
      </w:r>
      <w:r>
        <w:rPr>
          <w:rStyle w:val="34"/>
          <w:rFonts w:hint="eastAsia"/>
        </w:rPr>
        <w:t xml:space="preserve"> 办公区附属设施检查、维修与验收技术要求</w:t>
      </w:r>
      <w:r>
        <w:rPr>
          <w:rFonts w:hint="eastAsia"/>
        </w:rPr>
        <w:tab/>
      </w:r>
      <w:r>
        <w:rPr>
          <w:rFonts w:hint="eastAsia"/>
        </w:rPr>
        <w:fldChar w:fldCharType="begin"/>
      </w:r>
      <w:r>
        <w:rPr>
          <w:rFonts w:hint="eastAsia"/>
        </w:rPr>
        <w:instrText xml:space="preserve"> </w:instrText>
      </w:r>
      <w:r>
        <w:instrText xml:space="preserve">PAGEREF _Toc241610364 \h</w:instrText>
      </w:r>
      <w:r>
        <w:rPr>
          <w:rFonts w:hint="eastAsia"/>
        </w:rPr>
        <w:instrText xml:space="preserve"> </w:instrText>
      </w:r>
      <w:r>
        <w:rPr>
          <w:rFonts w:hint="eastAsia"/>
        </w:rPr>
        <w:fldChar w:fldCharType="separate"/>
      </w:r>
      <w:r>
        <w:t>44</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"_Toc241610365" </w:instrText>
      </w:r>
      <w:r>
        <w:fldChar w:fldCharType="separate"/>
      </w:r>
      <w:r>
        <w:rPr>
          <w:rStyle w:val="34"/>
          <w:rFonts w:hint="eastAsia"/>
        </w:rPr>
        <w:t>K.1</w:t>
      </w:r>
      <w:r>
        <w:rPr>
          <w:rStyle w:val="34"/>
        </w:rPr>
        <w:t xml:space="preserve"> </w:t>
      </w:r>
      <w:r>
        <w:rPr>
          <w:rStyle w:val="34"/>
          <w:rFonts w:hint="eastAsia"/>
        </w:rPr>
        <w:t xml:space="preserve"> 一般规定</w:t>
      </w:r>
      <w:r>
        <w:rPr>
          <w:rFonts w:hint="eastAsia"/>
        </w:rPr>
        <w:tab/>
      </w:r>
      <w:r>
        <w:rPr>
          <w:rFonts w:hint="eastAsia"/>
        </w:rPr>
        <w:fldChar w:fldCharType="begin"/>
      </w:r>
      <w:r>
        <w:rPr>
          <w:rFonts w:hint="eastAsia"/>
        </w:rPr>
        <w:instrText xml:space="preserve"> </w:instrText>
      </w:r>
      <w:r>
        <w:instrText xml:space="preserve">PAGEREF _Toc241610365 \h</w:instrText>
      </w:r>
      <w:r>
        <w:rPr>
          <w:rFonts w:hint="eastAsia"/>
        </w:rPr>
        <w:instrText xml:space="preserve"> </w:instrText>
      </w:r>
      <w:r>
        <w:rPr>
          <w:rFonts w:hint="eastAsia"/>
        </w:rPr>
        <w:fldChar w:fldCharType="separate"/>
      </w:r>
      <w:r>
        <w:t>44</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"_Toc241610366" </w:instrText>
      </w:r>
      <w:r>
        <w:fldChar w:fldCharType="separate"/>
      </w:r>
      <w:r>
        <w:rPr>
          <w:rStyle w:val="34"/>
          <w:rFonts w:hint="eastAsia"/>
        </w:rPr>
        <w:t>K.2</w:t>
      </w:r>
      <w:r>
        <w:rPr>
          <w:rStyle w:val="34"/>
        </w:rPr>
        <w:t xml:space="preserve"> </w:t>
      </w:r>
      <w:r>
        <w:rPr>
          <w:rStyle w:val="34"/>
          <w:rFonts w:hint="eastAsia"/>
        </w:rPr>
        <w:t xml:space="preserve"> 办公用房区室外管网维修</w:t>
      </w:r>
      <w:r>
        <w:rPr>
          <w:rFonts w:hint="eastAsia"/>
        </w:rPr>
        <w:tab/>
      </w:r>
      <w:r>
        <w:rPr>
          <w:rFonts w:hint="eastAsia"/>
        </w:rPr>
        <w:fldChar w:fldCharType="begin"/>
      </w:r>
      <w:r>
        <w:rPr>
          <w:rFonts w:hint="eastAsia"/>
        </w:rPr>
        <w:instrText xml:space="preserve"> </w:instrText>
      </w:r>
      <w:r>
        <w:instrText xml:space="preserve">PAGEREF _Toc241610366 \h</w:instrText>
      </w:r>
      <w:r>
        <w:rPr>
          <w:rFonts w:hint="eastAsia"/>
        </w:rPr>
        <w:instrText xml:space="preserve"> </w:instrText>
      </w:r>
      <w:r>
        <w:rPr>
          <w:rFonts w:hint="eastAsia"/>
        </w:rPr>
        <w:fldChar w:fldCharType="separate"/>
      </w:r>
      <w:r>
        <w:t>44</w:t>
      </w:r>
      <w:r>
        <w:rPr>
          <w:rFonts w:hint="eastAsia"/>
        </w:rPr>
        <w:fldChar w:fldCharType="end"/>
      </w:r>
      <w:r>
        <w:rPr>
          <w:rFonts w:hint="eastAsia"/>
        </w:rPr>
        <w:fldChar w:fldCharType="end"/>
      </w:r>
    </w:p>
    <w:p>
      <w:pPr>
        <w:pStyle w:val="20"/>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"_Toc241610367" </w:instrText>
      </w:r>
      <w:r>
        <w:fldChar w:fldCharType="separate"/>
      </w:r>
      <w:r>
        <w:rPr>
          <w:rStyle w:val="34"/>
          <w:rFonts w:hint="eastAsia"/>
        </w:rPr>
        <w:t>附录L（规范性）</w:t>
      </w:r>
      <w:r>
        <w:rPr>
          <w:rStyle w:val="34"/>
        </w:rPr>
        <w:t xml:space="preserve"> </w:t>
      </w:r>
      <w:r>
        <w:rPr>
          <w:rStyle w:val="34"/>
          <w:rFonts w:hint="eastAsia"/>
        </w:rPr>
        <w:t xml:space="preserve"> 办公用房维修工程造价估算控制要求</w:t>
      </w:r>
      <w:r>
        <w:rPr>
          <w:rFonts w:hint="eastAsia"/>
        </w:rPr>
        <w:tab/>
      </w:r>
      <w:r>
        <w:rPr>
          <w:rFonts w:hint="eastAsia"/>
        </w:rPr>
        <w:fldChar w:fldCharType="begin"/>
      </w:r>
      <w:r>
        <w:rPr>
          <w:rFonts w:hint="eastAsia"/>
        </w:rPr>
        <w:instrText xml:space="preserve"> </w:instrText>
      </w:r>
      <w:r>
        <w:instrText xml:space="preserve">PAGEREF _Toc241610367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"_Toc241610368" </w:instrText>
      </w:r>
      <w:r>
        <w:fldChar w:fldCharType="separate"/>
      </w:r>
      <w:r>
        <w:rPr>
          <w:rStyle w:val="34"/>
          <w:rFonts w:hint="eastAsia"/>
        </w:rPr>
        <w:t>L.1</w:t>
      </w:r>
      <w:r>
        <w:rPr>
          <w:rStyle w:val="34"/>
        </w:rPr>
        <w:t xml:space="preserve"> </w:t>
      </w:r>
      <w:r>
        <w:rPr>
          <w:rStyle w:val="34"/>
          <w:rFonts w:hint="eastAsia"/>
        </w:rPr>
        <w:t xml:space="preserve"> 室内综合维修</w:t>
      </w:r>
      <w:r>
        <w:rPr>
          <w:rFonts w:hint="eastAsia"/>
        </w:rPr>
        <w:tab/>
      </w:r>
      <w:r>
        <w:rPr>
          <w:rFonts w:hint="eastAsia"/>
        </w:rPr>
        <w:fldChar w:fldCharType="begin"/>
      </w:r>
      <w:r>
        <w:rPr>
          <w:rFonts w:hint="eastAsia"/>
        </w:rPr>
        <w:instrText xml:space="preserve"> </w:instrText>
      </w:r>
      <w:r>
        <w:instrText xml:space="preserve">PAGEREF _Toc241610368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pPr>
        <w:pStyle w:val="25"/>
        <w:rPr>
          <w:rFonts w:hint="eastAsia" w:asciiTheme="minorHAnsi" w:hAnsiTheme="minorHAnsi" w:eastAsiaTheme="minorEastAsia" w:cstheme="minorBidi"/>
          <w:sz w:val="22"/>
          <w:szCs w:val="24"/>
          <w14:ligatures w14:val="standardContextual"/>
        </w:rPr>
      </w:pPr>
      <w:r>
        <w:fldChar w:fldCharType="begin"/>
      </w:r>
      <w:r>
        <w:instrText xml:space="preserve"> HYPERLINK \l "_Toc241610369" </w:instrText>
      </w:r>
      <w:r>
        <w:fldChar w:fldCharType="separate"/>
      </w:r>
      <w:r>
        <w:rPr>
          <w:rStyle w:val="34"/>
          <w:rFonts w:hint="eastAsia"/>
        </w:rPr>
        <w:t>L.2</w:t>
      </w:r>
      <w:r>
        <w:rPr>
          <w:rStyle w:val="34"/>
        </w:rPr>
        <w:t xml:space="preserve"> </w:t>
      </w:r>
      <w:r>
        <w:rPr>
          <w:rStyle w:val="34"/>
          <w:rFonts w:hint="eastAsia"/>
        </w:rPr>
        <w:t xml:space="preserve"> 专项维修</w:t>
      </w:r>
      <w:r>
        <w:rPr>
          <w:rFonts w:hint="eastAsia"/>
        </w:rPr>
        <w:tab/>
      </w:r>
      <w:r>
        <w:rPr>
          <w:rFonts w:hint="eastAsia"/>
        </w:rPr>
        <w:fldChar w:fldCharType="begin"/>
      </w:r>
      <w:r>
        <w:rPr>
          <w:rFonts w:hint="eastAsia"/>
        </w:rPr>
        <w:instrText xml:space="preserve"> </w:instrText>
      </w:r>
      <w:r>
        <w:instrText xml:space="preserve">PAGEREF _Toc241610369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pPr>
        <w:pStyle w:val="95"/>
        <w:spacing w:after="468"/>
        <w:sectPr>
          <w:headerReference r:id="rId11" w:type="default"/>
          <w:footerReference r:id="rId12" w:type="default"/>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16"/>
    <w:p>
      <w:pPr>
        <w:pStyle w:val="95"/>
        <w:spacing w:after="468"/>
      </w:pPr>
      <w:bookmarkStart w:id="18" w:name="BookMark2"/>
      <w:r>
        <w:rPr>
          <w:rFonts w:hint="eastAsia"/>
          <w:spacing w:val="320"/>
        </w:rPr>
        <w:t>前</w:t>
      </w:r>
      <w:r>
        <w:rPr>
          <w:rFonts w:hint="eastAsia"/>
        </w:rPr>
        <w:t>言</w:t>
      </w:r>
      <w:bookmarkEnd w:id="17"/>
    </w:p>
    <w:p>
      <w:pPr>
        <w:pStyle w:val="60"/>
        <w:ind w:firstLine="420"/>
      </w:pPr>
      <w:r>
        <w:rPr>
          <w:rFonts w:hint="eastAsia"/>
        </w:rPr>
        <w:t>本文件按照GB/T 1.1—2020《标准化工作导则  第1部分：标准化文件的结构和起草规则》的规定起草。</w:t>
      </w:r>
    </w:p>
    <w:p>
      <w:pPr>
        <w:pStyle w:val="60"/>
        <w:ind w:firstLine="420"/>
      </w:pPr>
      <w:r>
        <w:rPr>
          <w:rFonts w:hint="eastAsia"/>
        </w:rPr>
        <w:t>请注意本文件的某些内容可能涉及专利。本文件的发布机构不承担识别专利的责任。</w:t>
      </w:r>
    </w:p>
    <w:p>
      <w:pPr>
        <w:pStyle w:val="60"/>
        <w:ind w:firstLine="420"/>
      </w:pPr>
      <w:r>
        <w:rPr>
          <w:rFonts w:hint="eastAsia"/>
        </w:rPr>
        <w:t>本文件由湖南省机关事务管理部门提出并归口。</w:t>
      </w:r>
    </w:p>
    <w:p>
      <w:pPr>
        <w:pStyle w:val="60"/>
        <w:ind w:firstLine="420"/>
        <w:rPr>
          <w:rFonts w:hint="eastAsia" w:eastAsia="宋体"/>
          <w:lang w:eastAsia="zh-CN"/>
        </w:rPr>
      </w:pPr>
      <w:r>
        <w:rPr>
          <w:rFonts w:hint="eastAsia"/>
        </w:rPr>
        <w:t>本文件起草单位：湖南省机关事务管理局、湖南中和创远管理技术咨询有限公司</w:t>
      </w:r>
      <w:r>
        <w:rPr>
          <w:rFonts w:hint="eastAsia"/>
          <w:lang w:eastAsia="zh-CN"/>
        </w:rPr>
        <w:t>。</w:t>
      </w:r>
    </w:p>
    <w:p>
      <w:pPr>
        <w:pStyle w:val="60"/>
        <w:ind w:firstLine="420"/>
        <w:rPr>
          <w:rFonts w:hint="eastAsia" w:eastAsia="宋体"/>
          <w:lang w:eastAsia="zh-CN"/>
        </w:rPr>
      </w:pPr>
      <w:r>
        <w:rPr>
          <w:rFonts w:hint="eastAsia"/>
        </w:rPr>
        <w:t>本文件主要起草人：唐恒忠、黄良辉、周永、吴罡、谭啸</w:t>
      </w:r>
      <w:r>
        <w:rPr>
          <w:rFonts w:hint="eastAsia"/>
          <w:lang w:eastAsia="zh-CN"/>
        </w:rPr>
        <w:t>、</w:t>
      </w:r>
      <w:r>
        <w:rPr>
          <w:rFonts w:hint="eastAsia"/>
        </w:rPr>
        <w:t>彭波、曹廷、肖天乐</w:t>
      </w:r>
      <w:r>
        <w:rPr>
          <w:rFonts w:hint="eastAsia"/>
          <w:lang w:eastAsia="zh-CN"/>
        </w:rPr>
        <w:t>。</w:t>
      </w:r>
    </w:p>
    <w:p>
      <w:pPr>
        <w:pStyle w:val="60"/>
        <w:ind w:firstLine="420"/>
      </w:pPr>
    </w:p>
    <w:p>
      <w:pPr>
        <w:pStyle w:val="60"/>
        <w:ind w:firstLine="420"/>
        <w:sectPr>
          <w:pgSz w:w="11906" w:h="16838"/>
          <w:pgMar w:top="1928" w:right="1134" w:bottom="1134" w:left="1134" w:header="1418" w:footer="1134" w:gutter="284"/>
          <w:pgNumType w:fmt="upperRoman"/>
          <w:cols w:space="425" w:num="1"/>
          <w:formProt w:val="0"/>
          <w:docGrid w:type="lines" w:linePitch="312" w:charSpace="0"/>
        </w:sectPr>
      </w:pPr>
    </w:p>
    <w:bookmarkEnd w:id="18"/>
    <w:p>
      <w:pPr>
        <w:spacing w:line="20" w:lineRule="exact"/>
        <w:jc w:val="center"/>
        <w:rPr>
          <w:rFonts w:hint="eastAsia" w:ascii="黑体" w:hAnsi="黑体" w:eastAsia="黑体"/>
          <w:sz w:val="32"/>
          <w:szCs w:val="32"/>
        </w:rPr>
      </w:pPr>
      <w:bookmarkStart w:id="19" w:name="BookMark4"/>
    </w:p>
    <w:p>
      <w:pPr>
        <w:spacing w:line="20" w:lineRule="exact"/>
        <w:jc w:val="center"/>
        <w:rPr>
          <w:rFonts w:hint="eastAsia" w:ascii="黑体" w:hAnsi="黑体" w:eastAsia="黑体"/>
          <w:sz w:val="32"/>
          <w:szCs w:val="32"/>
        </w:rPr>
      </w:pPr>
    </w:p>
    <w:sdt>
      <w:sdtPr>
        <w:tag w:val="NEW_STAND_NAME"/>
        <w:id w:val="595910757"/>
        <w:lock w:val="sdtLocked"/>
        <w:placeholder>
          <w:docPart w:val="44A38090058141E5BCF867FEE79180DC"/>
        </w:placeholder>
      </w:sdtPr>
      <w:sdtContent>
        <w:p>
          <w:pPr>
            <w:pStyle w:val="181"/>
            <w:spacing w:before="3" w:beforeLines="1" w:after="686" w:afterLines="220"/>
            <w:rPr>
              <w:rFonts w:hint="eastAsia"/>
            </w:rPr>
          </w:pPr>
          <w:bookmarkStart w:id="698" w:name="_GoBack"/>
          <w:bookmarkStart w:id="20" w:name="NEW_STAND_NAME"/>
          <w:r>
            <w:rPr>
              <w:rFonts w:hint="eastAsia"/>
            </w:rPr>
            <w:t>省直机关办公用房维修技术和管理规范</w:t>
          </w:r>
          <w:bookmarkEnd w:id="698"/>
        </w:p>
      </w:sdtContent>
    </w:sdt>
    <w:bookmarkEnd w:id="20"/>
    <w:p>
      <w:pPr>
        <w:pStyle w:val="108"/>
        <w:spacing w:before="312" w:after="312"/>
      </w:pPr>
      <w:bookmarkStart w:id="21" w:name="_Toc26986771"/>
      <w:bookmarkStart w:id="22" w:name="_Toc97191423"/>
      <w:bookmarkStart w:id="23" w:name="_Toc241610289"/>
      <w:bookmarkStart w:id="24" w:name="_Toc24884211"/>
      <w:bookmarkStart w:id="25" w:name="_Toc17233333"/>
      <w:bookmarkStart w:id="26" w:name="_Toc17233325"/>
      <w:bookmarkStart w:id="27" w:name="_Toc26986530"/>
      <w:bookmarkStart w:id="28" w:name="_Toc30909"/>
      <w:bookmarkStart w:id="29" w:name="_Toc24884218"/>
      <w:bookmarkStart w:id="30" w:name="_Toc241609773"/>
      <w:bookmarkStart w:id="31" w:name="_Toc26648465"/>
      <w:bookmarkStart w:id="32" w:name="_Toc26718930"/>
      <w:r>
        <w:rPr>
          <w:rFonts w:hint="eastAsia"/>
        </w:rPr>
        <w:t>范围</w:t>
      </w:r>
      <w:bookmarkEnd w:id="21"/>
      <w:bookmarkEnd w:id="22"/>
      <w:bookmarkEnd w:id="23"/>
      <w:bookmarkEnd w:id="24"/>
      <w:bookmarkEnd w:id="25"/>
      <w:bookmarkEnd w:id="26"/>
      <w:bookmarkEnd w:id="27"/>
      <w:bookmarkEnd w:id="28"/>
      <w:bookmarkEnd w:id="29"/>
      <w:bookmarkEnd w:id="30"/>
      <w:bookmarkEnd w:id="31"/>
      <w:bookmarkEnd w:id="32"/>
    </w:p>
    <w:p>
      <w:pPr>
        <w:pStyle w:val="60"/>
        <w:ind w:firstLine="420"/>
      </w:pPr>
      <w:bookmarkStart w:id="33" w:name="_Toc17233326"/>
      <w:bookmarkStart w:id="34" w:name="_Toc17233334"/>
      <w:bookmarkStart w:id="35" w:name="_Toc24884212"/>
      <w:bookmarkStart w:id="36" w:name="_Toc26648466"/>
      <w:bookmarkStart w:id="37" w:name="_Toc24884219"/>
      <w:r>
        <w:rPr>
          <w:rFonts w:hint="eastAsia"/>
        </w:rPr>
        <w:t>本文件规定了省直机关办公用房维修管理的术语和定义、总体要求、管理职责、维修分类与判定、维修规划管理、检查、维修项目实施、质量验收、维修技术要求、造价控制、绩效评价与档案管理等内容。</w:t>
      </w:r>
    </w:p>
    <w:p>
      <w:pPr>
        <w:pStyle w:val="60"/>
        <w:ind w:firstLine="420"/>
      </w:pPr>
      <w:r>
        <w:rPr>
          <w:rFonts w:hint="eastAsia"/>
        </w:rPr>
        <w:t>本文件适用于党的机关、人大机关、行政机关、政协机关、监察机关、审判机关、检察机关，以及工会、共青团、妇联等人民团体和参照公务员法管理的事业单位办公用房（含配套设施设备）维修管理。省直其余事业单位办公用房维修管理参照本规范执行，各市州可结合本地实际情况另行制定文件实施。</w:t>
      </w:r>
    </w:p>
    <w:p>
      <w:pPr>
        <w:pStyle w:val="60"/>
        <w:ind w:firstLine="420"/>
      </w:pPr>
    </w:p>
    <w:p>
      <w:pPr>
        <w:pStyle w:val="108"/>
        <w:spacing w:before="312" w:after="312"/>
      </w:pPr>
      <w:bookmarkStart w:id="38" w:name="_Toc26986772"/>
      <w:bookmarkStart w:id="39" w:name="_Toc21713"/>
      <w:bookmarkStart w:id="40" w:name="_Toc26986531"/>
      <w:bookmarkStart w:id="41" w:name="_Toc26718931"/>
      <w:bookmarkStart w:id="42" w:name="_Toc241610290"/>
      <w:bookmarkStart w:id="43" w:name="_Toc97191424"/>
      <w:bookmarkStart w:id="44" w:name="_Toc241609774"/>
      <w:r>
        <w:rPr>
          <w:rFonts w:hint="eastAsia"/>
        </w:rPr>
        <w:t>规范性引用文件</w:t>
      </w:r>
      <w:bookmarkEnd w:id="33"/>
      <w:bookmarkEnd w:id="34"/>
      <w:bookmarkEnd w:id="35"/>
      <w:bookmarkEnd w:id="36"/>
      <w:bookmarkEnd w:id="37"/>
      <w:bookmarkEnd w:id="38"/>
      <w:bookmarkEnd w:id="39"/>
      <w:bookmarkEnd w:id="40"/>
      <w:bookmarkEnd w:id="41"/>
      <w:bookmarkEnd w:id="42"/>
      <w:bookmarkEnd w:id="43"/>
      <w:bookmarkEnd w:id="44"/>
    </w:p>
    <w:sdt>
      <w:sdtPr>
        <w:rPr>
          <w:rFonts w:hint="eastAsia"/>
        </w:rPr>
        <w:id w:val="715848253"/>
        <w:placeholder>
          <w:docPart w:val="83ACEA082902419DAEC754314F0D2502"/>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60"/>
        <w:ind w:firstLine="420"/>
      </w:pPr>
      <w:bookmarkStart w:id="45" w:name="_Toc97191425"/>
      <w:r>
        <w:rPr>
          <w:rFonts w:hint="eastAsia"/>
        </w:rPr>
        <w:t>GB 5749  生活饮用水卫生标准</w:t>
      </w:r>
    </w:p>
    <w:p>
      <w:pPr>
        <w:pStyle w:val="60"/>
        <w:ind w:firstLine="420"/>
      </w:pPr>
      <w:r>
        <w:rPr>
          <w:rFonts w:hint="eastAsia"/>
        </w:rPr>
        <w:t>GB/T 7106  建筑外窗气密、水密、抗风压性能分级及检测方法</w:t>
      </w:r>
    </w:p>
    <w:p>
      <w:pPr>
        <w:pStyle w:val="60"/>
        <w:ind w:firstLine="420"/>
      </w:pPr>
      <w:r>
        <w:rPr>
          <w:rFonts w:hint="eastAsia"/>
        </w:rPr>
        <w:t>GB 7588  电梯制造与安装安全规范</w:t>
      </w:r>
    </w:p>
    <w:p>
      <w:pPr>
        <w:pStyle w:val="60"/>
        <w:ind w:firstLine="420"/>
      </w:pPr>
      <w:r>
        <w:rPr>
          <w:rFonts w:hint="eastAsia"/>
        </w:rPr>
        <w:t>GB/T 10058  电梯技术条件</w:t>
      </w:r>
    </w:p>
    <w:p>
      <w:pPr>
        <w:pStyle w:val="60"/>
        <w:ind w:firstLine="420"/>
      </w:pPr>
      <w:r>
        <w:rPr>
          <w:rFonts w:hint="eastAsia"/>
        </w:rPr>
        <w:t>GB/T 10059  电梯试验方法</w:t>
      </w:r>
    </w:p>
    <w:p>
      <w:pPr>
        <w:pStyle w:val="60"/>
        <w:ind w:firstLine="420"/>
      </w:pPr>
      <w:r>
        <w:rPr>
          <w:rFonts w:hint="eastAsia"/>
        </w:rPr>
        <w:t>GB/T 10060  电梯安装验收规范</w:t>
      </w:r>
    </w:p>
    <w:p>
      <w:pPr>
        <w:pStyle w:val="60"/>
        <w:ind w:firstLine="420"/>
      </w:pPr>
      <w:r>
        <w:rPr>
          <w:rFonts w:hint="eastAsia"/>
        </w:rPr>
        <w:t>GB 17051  二次供水设施卫生规范</w:t>
      </w:r>
    </w:p>
    <w:p>
      <w:pPr>
        <w:pStyle w:val="60"/>
        <w:ind w:firstLine="420"/>
      </w:pPr>
      <w:r>
        <w:rPr>
          <w:rFonts w:hint="eastAsia"/>
        </w:rPr>
        <w:t>GB/T 18713  太阳热水系统设计、安装及工程验收技术规范</w:t>
      </w:r>
    </w:p>
    <w:p>
      <w:pPr>
        <w:pStyle w:val="60"/>
        <w:ind w:firstLine="420"/>
      </w:pPr>
      <w:r>
        <w:rPr>
          <w:rFonts w:hint="eastAsia"/>
        </w:rPr>
        <w:t>GB/T 18755  电梯、自动扶梯和自动人行道维修规范</w:t>
      </w:r>
    </w:p>
    <w:p>
      <w:pPr>
        <w:pStyle w:val="60"/>
        <w:ind w:firstLine="420"/>
      </w:pPr>
      <w:r>
        <w:rPr>
          <w:rFonts w:hint="eastAsia"/>
        </w:rPr>
        <w:t>GB 19210  空调通风系统清洗规范</w:t>
      </w:r>
    </w:p>
    <w:p>
      <w:pPr>
        <w:pStyle w:val="60"/>
        <w:ind w:firstLine="420"/>
      </w:pPr>
      <w:r>
        <w:rPr>
          <w:rFonts w:hint="eastAsia"/>
        </w:rPr>
        <w:t>GB/T 20900  电梯、自动扶梯和自动人行道 风险评价和降低的方法</w:t>
      </w:r>
    </w:p>
    <w:p>
      <w:pPr>
        <w:pStyle w:val="60"/>
        <w:ind w:firstLine="420"/>
      </w:pPr>
      <w:r>
        <w:rPr>
          <w:rFonts w:hint="eastAsia"/>
        </w:rPr>
        <w:t>GB/T 21086  建筑幕墙</w:t>
      </w:r>
    </w:p>
    <w:p>
      <w:pPr>
        <w:pStyle w:val="60"/>
        <w:ind w:firstLine="420"/>
      </w:pPr>
      <w:r>
        <w:rPr>
          <w:rFonts w:hint="eastAsia"/>
        </w:rPr>
        <w:t>GB 21240  液压电梯制造与安装安全规范</w:t>
      </w:r>
    </w:p>
    <w:p>
      <w:pPr>
        <w:pStyle w:val="60"/>
        <w:ind w:firstLine="420"/>
      </w:pPr>
      <w:r>
        <w:rPr>
          <w:rFonts w:hint="eastAsia"/>
        </w:rPr>
        <w:t>GB/T 24474  电梯乘运质量测量</w:t>
      </w:r>
    </w:p>
    <w:p>
      <w:pPr>
        <w:pStyle w:val="60"/>
        <w:ind w:firstLine="420"/>
      </w:pPr>
      <w:r>
        <w:rPr>
          <w:rFonts w:hint="eastAsia"/>
        </w:rPr>
        <w:t>GB/T 24475  电梯远程报警系统</w:t>
      </w:r>
    </w:p>
    <w:p>
      <w:pPr>
        <w:pStyle w:val="60"/>
        <w:ind w:firstLine="420"/>
      </w:pPr>
      <w:r>
        <w:rPr>
          <w:rFonts w:hint="eastAsia"/>
        </w:rPr>
        <w:t>GB/T 24476  电梯、自动扶梯和自动人行道数据监视和记录规范</w:t>
      </w:r>
    </w:p>
    <w:p>
      <w:pPr>
        <w:pStyle w:val="60"/>
        <w:ind w:firstLine="420"/>
      </w:pPr>
      <w:r>
        <w:rPr>
          <w:rFonts w:hint="eastAsia"/>
        </w:rPr>
        <w:t>GB/T 24477  适用于残疾人员的电梯附加要求</w:t>
      </w:r>
    </w:p>
    <w:p>
      <w:pPr>
        <w:pStyle w:val="60"/>
        <w:ind w:firstLine="420"/>
      </w:pPr>
      <w:r>
        <w:rPr>
          <w:rFonts w:hint="eastAsia"/>
        </w:rPr>
        <w:t>GB/T 24804  提高在用电梯安全性的规范</w:t>
      </w:r>
    </w:p>
    <w:p>
      <w:pPr>
        <w:pStyle w:val="60"/>
        <w:ind w:firstLine="420"/>
      </w:pPr>
      <w:r>
        <w:rPr>
          <w:rFonts w:hint="eastAsia"/>
        </w:rPr>
        <w:t>GB/T 26465  消防电梯制造与安装安全规范</w:t>
      </w:r>
    </w:p>
    <w:p>
      <w:pPr>
        <w:pStyle w:val="60"/>
        <w:ind w:firstLine="420"/>
      </w:pPr>
      <w:r>
        <w:rPr>
          <w:rFonts w:hint="eastAsia"/>
        </w:rPr>
        <w:t>GB/T 28621  安装于现有建筑物中的新电梯制造与安装安全规范</w:t>
      </w:r>
    </w:p>
    <w:p>
      <w:pPr>
        <w:pStyle w:val="60"/>
        <w:ind w:firstLine="420"/>
      </w:pPr>
      <w:r>
        <w:rPr>
          <w:rFonts w:hint="eastAsia"/>
        </w:rPr>
        <w:t>GB 50003  砌体结构设计规范</w:t>
      </w:r>
    </w:p>
    <w:p>
      <w:pPr>
        <w:pStyle w:val="60"/>
        <w:ind w:firstLine="420"/>
      </w:pPr>
      <w:r>
        <w:rPr>
          <w:rFonts w:hint="eastAsia"/>
        </w:rPr>
        <w:t>GB 50005  木结构设计规范</w:t>
      </w:r>
    </w:p>
    <w:p>
      <w:pPr>
        <w:pStyle w:val="60"/>
        <w:ind w:firstLine="420"/>
      </w:pPr>
      <w:r>
        <w:rPr>
          <w:rFonts w:hint="eastAsia"/>
        </w:rPr>
        <w:t>GB 50007  建筑地基基础设计规范</w:t>
      </w:r>
    </w:p>
    <w:p>
      <w:pPr>
        <w:pStyle w:val="60"/>
        <w:ind w:firstLine="420"/>
      </w:pPr>
      <w:r>
        <w:rPr>
          <w:rFonts w:hint="eastAsia"/>
        </w:rPr>
        <w:t>GB 50010  混凝土结构设计规范</w:t>
      </w:r>
    </w:p>
    <w:p>
      <w:pPr>
        <w:pStyle w:val="60"/>
        <w:ind w:firstLine="420"/>
      </w:pPr>
      <w:r>
        <w:rPr>
          <w:rFonts w:hint="eastAsia"/>
        </w:rPr>
        <w:t>GB 50014  室外排水设计规范</w:t>
      </w:r>
    </w:p>
    <w:p>
      <w:pPr>
        <w:pStyle w:val="60"/>
        <w:ind w:firstLine="420"/>
      </w:pPr>
      <w:r>
        <w:rPr>
          <w:rFonts w:hint="eastAsia"/>
        </w:rPr>
        <w:t>GB 50015  建筑给水排水设计规范</w:t>
      </w:r>
    </w:p>
    <w:p>
      <w:pPr>
        <w:pStyle w:val="60"/>
        <w:ind w:firstLine="420"/>
      </w:pPr>
      <w:r>
        <w:rPr>
          <w:rFonts w:hint="eastAsia"/>
        </w:rPr>
        <w:t>GB 50016  屋面工程技术规范</w:t>
      </w:r>
    </w:p>
    <w:p>
      <w:pPr>
        <w:pStyle w:val="60"/>
        <w:ind w:firstLine="420"/>
      </w:pPr>
      <w:r>
        <w:rPr>
          <w:rFonts w:hint="eastAsia"/>
        </w:rPr>
        <w:t>GB 50017  钢结构设计规范</w:t>
      </w:r>
    </w:p>
    <w:p>
      <w:pPr>
        <w:pStyle w:val="60"/>
        <w:ind w:firstLine="420"/>
      </w:pPr>
      <w:r>
        <w:rPr>
          <w:rFonts w:hint="eastAsia"/>
        </w:rPr>
        <w:t>GB 50023  建筑抗震鉴定标准</w:t>
      </w:r>
    </w:p>
    <w:p>
      <w:pPr>
        <w:pStyle w:val="60"/>
        <w:ind w:firstLine="420"/>
      </w:pPr>
      <w:r>
        <w:rPr>
          <w:rFonts w:hint="eastAsia"/>
        </w:rPr>
        <w:t>GB 50068  建筑结构可靠度设计统一标准</w:t>
      </w:r>
    </w:p>
    <w:p>
      <w:pPr>
        <w:pStyle w:val="60"/>
        <w:ind w:firstLine="420"/>
      </w:pPr>
      <w:r>
        <w:rPr>
          <w:rFonts w:hint="eastAsia"/>
        </w:rPr>
        <w:t>GB 50108  地下工程防水技术规范</w:t>
      </w:r>
    </w:p>
    <w:p>
      <w:pPr>
        <w:pStyle w:val="60"/>
        <w:ind w:firstLine="420"/>
      </w:pPr>
      <w:r>
        <w:rPr>
          <w:rFonts w:hint="eastAsia"/>
        </w:rPr>
        <w:t>GB 50150  电气装置安装工程电气设备交接试验标准</w:t>
      </w:r>
    </w:p>
    <w:p>
      <w:pPr>
        <w:pStyle w:val="60"/>
        <w:ind w:firstLine="420"/>
      </w:pPr>
      <w:r>
        <w:rPr>
          <w:rFonts w:hint="eastAsia"/>
        </w:rPr>
        <w:t>GB 50165  古建筑木结构维护与加固技术规范</w:t>
      </w:r>
    </w:p>
    <w:p>
      <w:pPr>
        <w:pStyle w:val="60"/>
        <w:ind w:firstLine="420"/>
      </w:pPr>
      <w:r>
        <w:rPr>
          <w:rFonts w:hint="eastAsia"/>
        </w:rPr>
        <w:t>GB 50168  电气装置安装工程电缆线路施工及验收规范</w:t>
      </w:r>
    </w:p>
    <w:p>
      <w:pPr>
        <w:pStyle w:val="60"/>
        <w:ind w:firstLine="420"/>
      </w:pPr>
      <w:r>
        <w:rPr>
          <w:rFonts w:hint="eastAsia"/>
        </w:rPr>
        <w:t xml:space="preserve">GB 50169  电气装置安装工程接地装置施工及验收规范 </w:t>
      </w:r>
    </w:p>
    <w:p>
      <w:pPr>
        <w:pStyle w:val="60"/>
        <w:ind w:firstLine="420"/>
      </w:pPr>
      <w:r>
        <w:rPr>
          <w:rFonts w:hint="eastAsia"/>
        </w:rPr>
        <w:t>GB 50171  电气装置安装工程盘、柜及二次回路结线施工及验收规范</w:t>
      </w:r>
    </w:p>
    <w:p>
      <w:pPr>
        <w:pStyle w:val="60"/>
        <w:ind w:firstLine="420"/>
      </w:pPr>
      <w:r>
        <w:rPr>
          <w:rFonts w:hint="eastAsia"/>
        </w:rPr>
        <w:t>GB 50176  民用建筑热工设计规范</w:t>
      </w:r>
    </w:p>
    <w:p>
      <w:pPr>
        <w:pStyle w:val="60"/>
        <w:ind w:firstLine="420"/>
      </w:pPr>
      <w:r>
        <w:rPr>
          <w:rFonts w:hint="eastAsia"/>
        </w:rPr>
        <w:t>GB 50189  公共建筑节能设计标准</w:t>
      </w:r>
    </w:p>
    <w:p>
      <w:pPr>
        <w:pStyle w:val="60"/>
        <w:ind w:firstLine="420"/>
      </w:pPr>
      <w:r>
        <w:rPr>
          <w:rFonts w:hint="eastAsia"/>
        </w:rPr>
        <w:t>GB 50202  建筑地基基础工程施工质量验收规范</w:t>
      </w:r>
    </w:p>
    <w:p>
      <w:pPr>
        <w:pStyle w:val="60"/>
        <w:ind w:firstLine="420"/>
      </w:pPr>
      <w:r>
        <w:rPr>
          <w:rFonts w:hint="eastAsia"/>
        </w:rPr>
        <w:t>GB 50203  砌体结构工程施工质量验收规范</w:t>
      </w:r>
    </w:p>
    <w:p>
      <w:pPr>
        <w:pStyle w:val="60"/>
        <w:ind w:firstLine="420"/>
      </w:pPr>
      <w:r>
        <w:rPr>
          <w:rFonts w:hint="eastAsia"/>
        </w:rPr>
        <w:t>GB 50204  混凝土结构工程施工质量验收规范</w:t>
      </w:r>
    </w:p>
    <w:p>
      <w:pPr>
        <w:pStyle w:val="60"/>
        <w:ind w:firstLine="420"/>
      </w:pPr>
      <w:r>
        <w:rPr>
          <w:rFonts w:hint="eastAsia"/>
        </w:rPr>
        <w:t>GB 50205  钢结构工程施工质量验收规范</w:t>
      </w:r>
    </w:p>
    <w:p>
      <w:pPr>
        <w:pStyle w:val="60"/>
        <w:ind w:firstLine="420"/>
      </w:pPr>
      <w:r>
        <w:rPr>
          <w:rFonts w:hint="eastAsia"/>
        </w:rPr>
        <w:t>GB 50206  木结构工程施工质量验收规范</w:t>
      </w:r>
    </w:p>
    <w:p>
      <w:pPr>
        <w:pStyle w:val="60"/>
        <w:ind w:firstLine="420"/>
      </w:pPr>
      <w:r>
        <w:rPr>
          <w:rFonts w:hint="eastAsia"/>
        </w:rPr>
        <w:t>GB 50207  屋面工程质量验收规范</w:t>
      </w:r>
    </w:p>
    <w:p>
      <w:pPr>
        <w:pStyle w:val="60"/>
        <w:ind w:firstLine="420"/>
      </w:pPr>
      <w:r>
        <w:rPr>
          <w:rFonts w:hint="eastAsia"/>
        </w:rPr>
        <w:t>GB 50208  地下防水工程质量验收规范</w:t>
      </w:r>
    </w:p>
    <w:p>
      <w:pPr>
        <w:pStyle w:val="60"/>
        <w:ind w:firstLine="420"/>
      </w:pPr>
      <w:r>
        <w:rPr>
          <w:rFonts w:hint="eastAsia"/>
        </w:rPr>
        <w:t>GB 50209  建筑地面工程施工质量验收规范</w:t>
      </w:r>
    </w:p>
    <w:p>
      <w:pPr>
        <w:pStyle w:val="60"/>
        <w:ind w:firstLine="420"/>
      </w:pPr>
      <w:r>
        <w:rPr>
          <w:rFonts w:hint="eastAsia"/>
        </w:rPr>
        <w:t>GB 50210  建筑装饰装修工程质量验收规范</w:t>
      </w:r>
    </w:p>
    <w:p>
      <w:pPr>
        <w:pStyle w:val="60"/>
        <w:ind w:firstLine="420"/>
      </w:pPr>
      <w:r>
        <w:rPr>
          <w:rFonts w:hint="eastAsia"/>
        </w:rPr>
        <w:t>GB 50223  建筑工程抗震设防分类标准</w:t>
      </w:r>
    </w:p>
    <w:p>
      <w:pPr>
        <w:pStyle w:val="60"/>
        <w:ind w:firstLine="420"/>
      </w:pPr>
      <w:r>
        <w:rPr>
          <w:rFonts w:hint="eastAsia"/>
        </w:rPr>
        <w:t>GB 50242-2002  建筑给水排水及采暖工程施工质量验收规范</w:t>
      </w:r>
    </w:p>
    <w:p>
      <w:pPr>
        <w:pStyle w:val="60"/>
        <w:ind w:firstLine="420"/>
      </w:pPr>
      <w:r>
        <w:rPr>
          <w:rFonts w:hint="eastAsia"/>
        </w:rPr>
        <w:t>GB 50243  通风与空调工程施工质量验收规范</w:t>
      </w:r>
    </w:p>
    <w:p>
      <w:pPr>
        <w:pStyle w:val="60"/>
        <w:ind w:firstLine="420"/>
      </w:pPr>
      <w:r>
        <w:rPr>
          <w:rFonts w:hint="eastAsia"/>
        </w:rPr>
        <w:t>GB 50261-2017  自动喷水灭火系统施工及验收规范</w:t>
      </w:r>
    </w:p>
    <w:p>
      <w:pPr>
        <w:pStyle w:val="60"/>
        <w:ind w:firstLine="420"/>
      </w:pPr>
      <w:r>
        <w:rPr>
          <w:rFonts w:hint="eastAsia"/>
        </w:rPr>
        <w:t xml:space="preserve">GB 50268  </w:t>
      </w:r>
      <w:r>
        <w:t>给水排水管道工程施工及验收规范</w:t>
      </w:r>
    </w:p>
    <w:p>
      <w:pPr>
        <w:pStyle w:val="60"/>
        <w:ind w:firstLine="420"/>
      </w:pPr>
      <w:r>
        <w:rPr>
          <w:rFonts w:hint="eastAsia"/>
        </w:rPr>
        <w:t>GB 50275  压缩机、风机、泵安装工程施工及验收规范</w:t>
      </w:r>
    </w:p>
    <w:p>
      <w:pPr>
        <w:pStyle w:val="60"/>
        <w:ind w:firstLine="420"/>
      </w:pPr>
      <w:r>
        <w:rPr>
          <w:rFonts w:hint="eastAsia"/>
        </w:rPr>
        <w:t>GB 50300  建筑工程施工质量验收统一标准</w:t>
      </w:r>
    </w:p>
    <w:p>
      <w:pPr>
        <w:pStyle w:val="60"/>
        <w:ind w:firstLine="420"/>
      </w:pPr>
      <w:r>
        <w:rPr>
          <w:rFonts w:hint="eastAsia"/>
        </w:rPr>
        <w:t>GB 50303  建筑电气工程施工质量验收规范</w:t>
      </w:r>
    </w:p>
    <w:p>
      <w:pPr>
        <w:pStyle w:val="60"/>
        <w:ind w:firstLine="420"/>
      </w:pPr>
      <w:r>
        <w:rPr>
          <w:rFonts w:hint="eastAsia"/>
        </w:rPr>
        <w:t>GB 50310  电梯工程施工质量验收规范</w:t>
      </w:r>
    </w:p>
    <w:p>
      <w:pPr>
        <w:pStyle w:val="60"/>
        <w:ind w:firstLine="420"/>
      </w:pPr>
      <w:r>
        <w:rPr>
          <w:rFonts w:hint="eastAsia"/>
        </w:rPr>
        <w:t>GB/T 50314  智能建筑设计标准</w:t>
      </w:r>
    </w:p>
    <w:p>
      <w:pPr>
        <w:pStyle w:val="60"/>
        <w:ind w:firstLine="420"/>
      </w:pPr>
      <w:r>
        <w:rPr>
          <w:rFonts w:hint="eastAsia"/>
        </w:rPr>
        <w:t xml:space="preserve">GB 50325  </w:t>
      </w:r>
      <w:r>
        <w:t>民用建筑工程室内环境污染控制标准</w:t>
      </w:r>
    </w:p>
    <w:p>
      <w:pPr>
        <w:pStyle w:val="60"/>
        <w:ind w:firstLine="420"/>
      </w:pPr>
      <w:r>
        <w:rPr>
          <w:rFonts w:hint="eastAsia"/>
        </w:rPr>
        <w:t>GB 50339  智能建筑工程质量验收规范</w:t>
      </w:r>
    </w:p>
    <w:p>
      <w:pPr>
        <w:pStyle w:val="60"/>
        <w:ind w:firstLine="420"/>
      </w:pPr>
      <w:r>
        <w:rPr>
          <w:rFonts w:hint="eastAsia"/>
        </w:rPr>
        <w:t>GB 50345  屋面工程技术规范</w:t>
      </w:r>
    </w:p>
    <w:p>
      <w:pPr>
        <w:pStyle w:val="60"/>
        <w:ind w:firstLine="420"/>
      </w:pPr>
      <w:r>
        <w:rPr>
          <w:rFonts w:hint="eastAsia"/>
        </w:rPr>
        <w:t>GB 50349  建筑给水聚丙烯管道工程技术规范</w:t>
      </w:r>
    </w:p>
    <w:p>
      <w:pPr>
        <w:pStyle w:val="60"/>
        <w:ind w:firstLine="420"/>
      </w:pPr>
      <w:r>
        <w:rPr>
          <w:rFonts w:hint="eastAsia"/>
        </w:rPr>
        <w:t>GB 50367  混凝土结构加固设计规范</w:t>
      </w:r>
    </w:p>
    <w:p>
      <w:pPr>
        <w:pStyle w:val="60"/>
        <w:ind w:firstLine="420"/>
      </w:pPr>
      <w:r>
        <w:rPr>
          <w:rFonts w:hint="eastAsia"/>
        </w:rPr>
        <w:t>GB/T 50378  绿色建筑评价标准</w:t>
      </w:r>
    </w:p>
    <w:p>
      <w:pPr>
        <w:pStyle w:val="60"/>
        <w:ind w:firstLine="420"/>
      </w:pPr>
      <w:r>
        <w:rPr>
          <w:rFonts w:hint="eastAsia"/>
        </w:rPr>
        <w:t>GB 50411  建筑节能工程施工质量验收规范</w:t>
      </w:r>
    </w:p>
    <w:p>
      <w:pPr>
        <w:pStyle w:val="60"/>
        <w:ind w:firstLine="420"/>
      </w:pPr>
      <w:r>
        <w:rPr>
          <w:rFonts w:hint="eastAsia"/>
        </w:rPr>
        <w:t>GB/T 50476  混凝土结构耐久性设计规范</w:t>
      </w:r>
    </w:p>
    <w:p>
      <w:pPr>
        <w:pStyle w:val="60"/>
        <w:ind w:firstLine="420"/>
      </w:pPr>
      <w:r>
        <w:rPr>
          <w:rFonts w:hint="eastAsia"/>
        </w:rPr>
        <w:t>GB 50550  建筑结构加固工程施工质量验收规范</w:t>
      </w:r>
    </w:p>
    <w:p>
      <w:pPr>
        <w:pStyle w:val="60"/>
        <w:ind w:firstLine="420"/>
      </w:pPr>
      <w:r>
        <w:rPr>
          <w:rFonts w:hint="eastAsia"/>
        </w:rPr>
        <w:t>GB 50601  建筑物防雷工程施工与质量验收规范</w:t>
      </w:r>
    </w:p>
    <w:p>
      <w:pPr>
        <w:pStyle w:val="60"/>
        <w:ind w:firstLine="420"/>
      </w:pPr>
      <w:r>
        <w:rPr>
          <w:rFonts w:hint="eastAsia"/>
        </w:rPr>
        <w:t>GB 50606  智能建筑工程施工规范</w:t>
      </w:r>
    </w:p>
    <w:p>
      <w:pPr>
        <w:pStyle w:val="60"/>
        <w:ind w:firstLine="420"/>
      </w:pPr>
      <w:r>
        <w:rPr>
          <w:rFonts w:hint="eastAsia"/>
        </w:rPr>
        <w:t>GB 50702  砌体结构加固设计规范</w:t>
      </w:r>
    </w:p>
    <w:p>
      <w:pPr>
        <w:pStyle w:val="60"/>
        <w:ind w:firstLine="420"/>
      </w:pPr>
      <w:r>
        <w:rPr>
          <w:rFonts w:hint="eastAsia"/>
        </w:rPr>
        <w:t>GB 50736  民用建筑供暖通风与空气调节设计规范</w:t>
      </w:r>
    </w:p>
    <w:p>
      <w:pPr>
        <w:pStyle w:val="60"/>
        <w:ind w:firstLine="420"/>
      </w:pPr>
      <w:r>
        <w:rPr>
          <w:rFonts w:hint="eastAsia"/>
        </w:rPr>
        <w:t>GB 50738  通风与空调工程施工规范</w:t>
      </w:r>
    </w:p>
    <w:p>
      <w:pPr>
        <w:pStyle w:val="60"/>
        <w:ind w:firstLine="420"/>
      </w:pPr>
      <w:r>
        <w:rPr>
          <w:rFonts w:hint="eastAsia"/>
        </w:rPr>
        <w:t>GB 50843  建筑边坡工程鉴定与加固技术规范</w:t>
      </w:r>
    </w:p>
    <w:p>
      <w:pPr>
        <w:pStyle w:val="60"/>
        <w:ind w:firstLine="420"/>
      </w:pPr>
      <w:r>
        <w:t>GB</w:t>
      </w:r>
      <w:r>
        <w:rPr>
          <w:rFonts w:hint="eastAsia"/>
        </w:rPr>
        <w:t xml:space="preserve"> </w:t>
      </w:r>
      <w:r>
        <w:t>50974-2014</w:t>
      </w:r>
      <w:r>
        <w:rPr>
          <w:rFonts w:hint="eastAsia"/>
        </w:rPr>
        <w:t xml:space="preserve">  </w:t>
      </w:r>
      <w:r>
        <w:t>消防给水及消火栓系统设计规范》</w:t>
      </w:r>
    </w:p>
    <w:p>
      <w:pPr>
        <w:pStyle w:val="60"/>
        <w:ind w:firstLine="420"/>
      </w:pPr>
      <w:r>
        <w:rPr>
          <w:rFonts w:hint="eastAsia"/>
        </w:rPr>
        <w:t>CJ 164  节水型生活用水器具</w:t>
      </w:r>
    </w:p>
    <w:p>
      <w:pPr>
        <w:pStyle w:val="60"/>
        <w:ind w:firstLine="420"/>
      </w:pPr>
      <w:r>
        <w:rPr>
          <w:rFonts w:hint="eastAsia"/>
        </w:rPr>
        <w:t>CJ/T 186  地漏 城镇建设行业标准</w:t>
      </w:r>
    </w:p>
    <w:p>
      <w:pPr>
        <w:pStyle w:val="60"/>
        <w:ind w:firstLine="420"/>
      </w:pPr>
      <w:r>
        <w:rPr>
          <w:rFonts w:hint="eastAsia"/>
        </w:rPr>
        <w:t>CJ 194  非接触式给水器具</w:t>
      </w:r>
    </w:p>
    <w:p>
      <w:pPr>
        <w:pStyle w:val="60"/>
        <w:ind w:firstLine="420"/>
      </w:pPr>
      <w:r>
        <w:rPr>
          <w:rFonts w:hint="eastAsia"/>
        </w:rPr>
        <w:t>CJ 3082  污水排入城市下水道水质标准</w:t>
      </w:r>
    </w:p>
    <w:p>
      <w:pPr>
        <w:pStyle w:val="60"/>
        <w:ind w:firstLine="420"/>
      </w:pPr>
      <w:r>
        <w:rPr>
          <w:rFonts w:hint="eastAsia"/>
        </w:rPr>
        <w:t>CJJ/T 29  建筑给水聚乙烯类管道工程技术规程</w:t>
      </w:r>
    </w:p>
    <w:p>
      <w:pPr>
        <w:pStyle w:val="60"/>
        <w:ind w:firstLine="420"/>
      </w:pPr>
      <w:r>
        <w:rPr>
          <w:rFonts w:hint="eastAsia"/>
        </w:rPr>
        <w:t>CJJ 62  房屋渗漏修缮技术规程</w:t>
      </w:r>
    </w:p>
    <w:p>
      <w:pPr>
        <w:pStyle w:val="60"/>
        <w:ind w:firstLine="420"/>
      </w:pPr>
      <w:r>
        <w:rPr>
          <w:rFonts w:hint="eastAsia"/>
        </w:rPr>
        <w:t>CJJ 110  管道直饮水系统技术规程</w:t>
      </w:r>
    </w:p>
    <w:p>
      <w:pPr>
        <w:pStyle w:val="60"/>
        <w:ind w:firstLine="420"/>
      </w:pPr>
      <w:r>
        <w:rPr>
          <w:rFonts w:hint="eastAsia"/>
        </w:rPr>
        <w:t>JC 65  玻璃钢水箱</w:t>
      </w:r>
    </w:p>
    <w:p>
      <w:pPr>
        <w:pStyle w:val="60"/>
        <w:ind w:firstLine="420"/>
      </w:pPr>
      <w:r>
        <w:rPr>
          <w:rFonts w:hint="eastAsia"/>
        </w:rPr>
        <w:t>JC 932  卫生洁具排水配件</w:t>
      </w:r>
    </w:p>
    <w:p>
      <w:pPr>
        <w:pStyle w:val="60"/>
        <w:ind w:firstLine="420"/>
      </w:pPr>
      <w:r>
        <w:rPr>
          <w:rFonts w:hint="eastAsia"/>
        </w:rPr>
        <w:t>JGJ 16  民用建筑电气设计规范</w:t>
      </w:r>
    </w:p>
    <w:p>
      <w:pPr>
        <w:pStyle w:val="60"/>
        <w:ind w:firstLine="420"/>
      </w:pPr>
      <w:r>
        <w:rPr>
          <w:rFonts w:hint="eastAsia"/>
        </w:rPr>
        <w:t>JGJ/T 53  房屋渗漏修缮技术规程</w:t>
      </w:r>
    </w:p>
    <w:p>
      <w:pPr>
        <w:pStyle w:val="60"/>
        <w:ind w:firstLine="420"/>
      </w:pPr>
      <w:r>
        <w:rPr>
          <w:rFonts w:hint="eastAsia"/>
        </w:rPr>
        <w:t>JGJ 116  建筑抗震加固技术规程</w:t>
      </w:r>
    </w:p>
    <w:p>
      <w:pPr>
        <w:pStyle w:val="60"/>
        <w:ind w:firstLine="420"/>
      </w:pPr>
      <w:r>
        <w:rPr>
          <w:rFonts w:hint="eastAsia"/>
        </w:rPr>
        <w:t>JGJ 123  既有建筑地基基础加固技术规范</w:t>
      </w:r>
    </w:p>
    <w:p>
      <w:pPr>
        <w:pStyle w:val="60"/>
        <w:ind w:firstLine="420"/>
      </w:pPr>
      <w:r>
        <w:rPr>
          <w:rFonts w:hint="eastAsia"/>
        </w:rPr>
        <w:t>JGJ 176</w:t>
      </w:r>
      <w:r>
        <w:rPr>
          <w:rFonts w:hint="eastAsia"/>
        </w:rPr>
        <w:tab/>
      </w:r>
      <w:r>
        <w:rPr>
          <w:rFonts w:hint="eastAsia"/>
        </w:rPr>
        <w:t xml:space="preserve"> 公共建筑节能改造技术规范</w:t>
      </w:r>
    </w:p>
    <w:p>
      <w:pPr>
        <w:pStyle w:val="60"/>
        <w:ind w:firstLine="420"/>
      </w:pPr>
      <w:r>
        <w:rPr>
          <w:rFonts w:hint="eastAsia"/>
        </w:rPr>
        <w:t>JGJ/T 212  地下工程渗漏治理技术规程</w:t>
      </w:r>
    </w:p>
    <w:p>
      <w:pPr>
        <w:pStyle w:val="60"/>
        <w:ind w:firstLine="420"/>
      </w:pPr>
      <w:r>
        <w:t>JGJ/T 279</w:t>
      </w:r>
      <w:r>
        <w:rPr>
          <w:rFonts w:hint="eastAsia"/>
        </w:rPr>
        <w:t xml:space="preserve">  </w:t>
      </w:r>
      <w:r>
        <w:t>建筑结构体外预应力加固技术规程</w:t>
      </w:r>
    </w:p>
    <w:p>
      <w:pPr>
        <w:pStyle w:val="60"/>
        <w:ind w:firstLine="420"/>
      </w:pPr>
      <w:r>
        <w:t>JC/T 3040.2</w:t>
      </w:r>
      <w:r>
        <w:rPr>
          <w:rFonts w:hint="eastAsia"/>
        </w:rPr>
        <w:t xml:space="preserve">  </w:t>
      </w:r>
      <w:r>
        <w:t>大便器冲洗装置——液压缓闭式冲洗阀</w:t>
      </w:r>
    </w:p>
    <w:p>
      <w:pPr>
        <w:pStyle w:val="60"/>
        <w:ind w:firstLine="420"/>
      </w:pPr>
      <w:r>
        <w:t>WS 10013</w:t>
      </w:r>
      <w:r>
        <w:rPr>
          <w:rFonts w:hint="eastAsia"/>
        </w:rPr>
        <w:t xml:space="preserve">  </w:t>
      </w:r>
      <w:r>
        <w:t>公共场所集中空调通风系统卫生规范</w:t>
      </w:r>
    </w:p>
    <w:p>
      <w:pPr>
        <w:pStyle w:val="60"/>
        <w:ind w:firstLine="420"/>
      </w:pPr>
      <w:r>
        <w:t>建标157</w:t>
      </w:r>
      <w:r>
        <w:rPr>
          <w:rFonts w:hint="eastAsia"/>
        </w:rPr>
        <w:t xml:space="preserve">  </w:t>
      </w:r>
      <w:r>
        <w:t xml:space="preserve">中央国家机关办公用房节能改造标准 </w:t>
      </w:r>
    </w:p>
    <w:p>
      <w:pPr>
        <w:pStyle w:val="108"/>
        <w:spacing w:before="312" w:after="312"/>
      </w:pPr>
      <w:bookmarkStart w:id="46" w:name="_Toc241609775"/>
      <w:bookmarkStart w:id="47" w:name="_Toc8840"/>
      <w:bookmarkStart w:id="48" w:name="_Toc241610291"/>
      <w:r>
        <w:rPr>
          <w:rFonts w:hint="eastAsia"/>
          <w:szCs w:val="21"/>
        </w:rPr>
        <w:t>术语和定义</w:t>
      </w:r>
      <w:bookmarkEnd w:id="45"/>
      <w:bookmarkEnd w:id="46"/>
      <w:bookmarkEnd w:id="47"/>
      <w:bookmarkEnd w:id="48"/>
    </w:p>
    <w:sdt>
      <w:sdtPr>
        <w:id w:val="-1"/>
        <w:placeholder>
          <w:docPart w:val="1300A4C75D794D6291D16A5282D6F457"/>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60"/>
            <w:ind w:firstLine="420"/>
          </w:pPr>
          <w:bookmarkStart w:id="49" w:name="_Toc26986532"/>
          <w:bookmarkEnd w:id="49"/>
          <w:r>
            <w:rPr>
              <w:rFonts w:ascii="Times New Roman"/>
            </w:rPr>
            <w:t>下列术语和定义适用于本文件。</w:t>
          </w:r>
        </w:p>
      </w:sdtContent>
    </w:sdt>
    <w:p>
      <w:pPr>
        <w:pStyle w:val="60"/>
        <w:ind w:firstLine="420"/>
      </w:pPr>
    </w:p>
    <w:p>
      <w:pPr>
        <w:pStyle w:val="227"/>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大型维修</w:t>
      </w:r>
      <w:r>
        <w:rPr>
          <w:rFonts w:hint="eastAsia" w:ascii="黑体" w:hAnsi="黑体" w:eastAsia="黑体" w:cs="黑体"/>
        </w:rPr>
        <w:tab/>
      </w:r>
      <w:r>
        <w:rPr>
          <w:rFonts w:hint="eastAsia" w:ascii="黑体" w:hAnsi="黑体" w:eastAsia="黑体" w:cs="黑体"/>
        </w:rPr>
        <w:t>large-scale maintenance</w:t>
      </w:r>
    </w:p>
    <w:p>
      <w:pPr>
        <w:pStyle w:val="60"/>
        <w:ind w:firstLine="420"/>
      </w:pPr>
      <w:r>
        <w:rPr>
          <w:rFonts w:hint="eastAsia"/>
        </w:rPr>
        <w:t>对办公用房进行全面修复，总投资在400万元及以上（含400万元）的维修项目。</w:t>
      </w:r>
    </w:p>
    <w:p>
      <w:pPr>
        <w:pStyle w:val="227"/>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中型维修</w:t>
      </w:r>
      <w:r>
        <w:rPr>
          <w:rFonts w:hint="eastAsia" w:ascii="黑体" w:hAnsi="黑体" w:eastAsia="黑体" w:cs="黑体"/>
        </w:rPr>
        <w:tab/>
      </w:r>
      <w:r>
        <w:rPr>
          <w:rFonts w:hint="eastAsia" w:ascii="黑体" w:hAnsi="黑体" w:eastAsia="黑体" w:cs="黑体"/>
        </w:rPr>
        <w:t>medium-scale maintenance</w:t>
      </w:r>
    </w:p>
    <w:p>
      <w:pPr>
        <w:pStyle w:val="60"/>
        <w:ind w:firstLine="420"/>
      </w:pPr>
      <w:r>
        <w:rPr>
          <w:rFonts w:hint="eastAsia"/>
        </w:rPr>
        <w:t>对办公用房进行局部修复，总投资在100万元及以上（含100万元）、400万元以下的维修项目。</w:t>
      </w:r>
    </w:p>
    <w:p>
      <w:pPr>
        <w:pStyle w:val="227"/>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小型维修</w:t>
      </w:r>
      <w:r>
        <w:rPr>
          <w:rFonts w:hint="eastAsia" w:ascii="黑体" w:hAnsi="黑体" w:eastAsia="黑体" w:cs="黑体"/>
        </w:rPr>
        <w:tab/>
      </w:r>
      <w:r>
        <w:rPr>
          <w:rFonts w:hint="eastAsia" w:ascii="黑体" w:hAnsi="黑体" w:eastAsia="黑体" w:cs="黑体"/>
        </w:rPr>
        <w:t>small-scale maintenance</w:t>
      </w:r>
    </w:p>
    <w:p>
      <w:pPr>
        <w:pStyle w:val="60"/>
        <w:ind w:firstLine="420"/>
      </w:pPr>
      <w:r>
        <w:rPr>
          <w:rFonts w:hint="eastAsia"/>
        </w:rPr>
        <w:t>修复办公用房微损或小故障，总投资在50万元及以上（含50万元）、100万元以下的维修项目。</w:t>
      </w:r>
    </w:p>
    <w:p>
      <w:pPr>
        <w:pStyle w:val="227"/>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日常维修</w:t>
      </w:r>
      <w:r>
        <w:rPr>
          <w:rFonts w:hint="eastAsia" w:ascii="黑体" w:hAnsi="黑体" w:eastAsia="黑体" w:cs="黑体"/>
        </w:rPr>
        <w:tab/>
      </w:r>
      <w:r>
        <w:rPr>
          <w:rFonts w:hint="eastAsia" w:ascii="黑体" w:hAnsi="黑体" w:eastAsia="黑体" w:cs="黑体"/>
        </w:rPr>
        <w:t>routine maintenance</w:t>
      </w:r>
    </w:p>
    <w:p>
      <w:pPr>
        <w:pStyle w:val="60"/>
        <w:ind w:firstLine="420"/>
      </w:pPr>
      <w:r>
        <w:rPr>
          <w:rFonts w:hint="eastAsia"/>
        </w:rPr>
        <w:t>总投资在50万元以下的办公用房零星维修。</w:t>
      </w:r>
    </w:p>
    <w:p>
      <w:pPr>
        <w:pStyle w:val="227"/>
        <w:ind w:left="420" w:hanging="420" w:hangingChars="200"/>
        <w:rPr>
          <w:rFonts w:hint="eastAsia" w:ascii="黑体" w:hAnsi="黑体" w:eastAsia="黑体" w:cs="黑体"/>
        </w:rPr>
      </w:pPr>
      <w:r>
        <w:rPr>
          <w:rFonts w:hint="eastAsia" w:ascii="黑体" w:hAnsi="黑体" w:eastAsia="黑体" w:cs="黑体"/>
        </w:rPr>
        <w:br w:type="textWrapping"/>
      </w:r>
      <w:r>
        <w:rPr>
          <w:rFonts w:hint="eastAsia" w:ascii="黑体" w:hAnsi="黑体" w:eastAsia="黑体" w:cs="黑体"/>
        </w:rPr>
        <w:t>综合维修</w:t>
      </w:r>
      <w:r>
        <w:rPr>
          <w:rFonts w:hint="eastAsia" w:ascii="黑体" w:hAnsi="黑体" w:eastAsia="黑体" w:cs="黑体"/>
        </w:rPr>
        <w:tab/>
      </w:r>
      <w:r>
        <w:rPr>
          <w:rFonts w:hint="eastAsia" w:ascii="黑体" w:hAnsi="黑体" w:eastAsia="黑体" w:cs="黑体"/>
        </w:rPr>
        <w:t>comprehensive maintenance</w:t>
      </w:r>
    </w:p>
    <w:p>
      <w:pPr>
        <w:pStyle w:val="60"/>
        <w:ind w:firstLine="420"/>
      </w:pPr>
      <w:r>
        <w:rPr>
          <w:rFonts w:hint="eastAsia"/>
        </w:rPr>
        <w:t>为满足或改变办公用房正常使用功能和用途进行整体维修，并涉及3个及以上建筑分部系统的维修。</w:t>
      </w:r>
    </w:p>
    <w:p>
      <w:pPr>
        <w:pStyle w:val="227"/>
        <w:ind w:left="420" w:hanging="420" w:hangingChars="200"/>
        <w:rPr>
          <w:rFonts w:ascii="黑体" w:hAnsi="黑体" w:eastAsia="黑体"/>
        </w:rPr>
      </w:pPr>
    </w:p>
    <w:p>
      <w:pPr>
        <w:pStyle w:val="227"/>
        <w:numPr>
          <w:ilvl w:val="0"/>
          <w:numId w:val="0"/>
        </w:numPr>
        <w:ind w:left="420"/>
        <w:rPr>
          <w:rFonts w:hint="eastAsia" w:ascii="黑体" w:hAnsi="黑体" w:eastAsia="黑体"/>
        </w:rPr>
      </w:pPr>
      <w:r>
        <w:rPr>
          <w:rFonts w:hint="eastAsia" w:ascii="黑体" w:hAnsi="黑体" w:eastAsia="黑体"/>
        </w:rPr>
        <w:t>专项维修</w:t>
      </w:r>
      <w:r>
        <w:rPr>
          <w:rFonts w:hint="eastAsia" w:ascii="黑体" w:hAnsi="黑体" w:eastAsia="黑体"/>
        </w:rPr>
        <w:tab/>
      </w:r>
      <w:r>
        <w:rPr>
          <w:rFonts w:hint="eastAsia" w:ascii="黑体" w:hAnsi="黑体" w:eastAsia="黑体"/>
        </w:rPr>
        <w:t>special maintenance</w:t>
      </w:r>
    </w:p>
    <w:p>
      <w:pPr>
        <w:pStyle w:val="60"/>
        <w:ind w:firstLine="420"/>
      </w:pPr>
      <w:r>
        <w:rPr>
          <w:rFonts w:hint="eastAsia"/>
        </w:rPr>
        <w:t>为改善、提升办公用房某些使用功能和用途进行专门维修或改造，主要涉及3个以下建筑分部系统的维修。</w:t>
      </w:r>
    </w:p>
    <w:p>
      <w:pPr>
        <w:pStyle w:val="227"/>
        <w:ind w:left="420" w:hanging="420" w:hangingChars="200"/>
        <w:rPr>
          <w:rFonts w:ascii="黑体" w:hAnsi="黑体" w:eastAsia="黑体"/>
        </w:rPr>
      </w:pPr>
    </w:p>
    <w:p>
      <w:pPr>
        <w:pStyle w:val="227"/>
        <w:numPr>
          <w:ilvl w:val="0"/>
          <w:numId w:val="0"/>
        </w:numPr>
        <w:ind w:left="420"/>
        <w:rPr>
          <w:rFonts w:ascii="黑体" w:hAnsi="黑体" w:eastAsia="黑体"/>
        </w:rPr>
      </w:pPr>
      <w:r>
        <w:rPr>
          <w:rFonts w:hint="eastAsia" w:ascii="黑体" w:hAnsi="黑体" w:eastAsia="黑体"/>
        </w:rPr>
        <w:t>项目实施单位  Project Executing Unit</w:t>
      </w:r>
    </w:p>
    <w:p>
      <w:pPr>
        <w:pStyle w:val="227"/>
        <w:numPr>
          <w:ilvl w:val="2"/>
          <w:numId w:val="0"/>
        </w:numPr>
        <w:ind w:firstLine="420" w:firstLineChars="200"/>
      </w:pPr>
      <w:r>
        <w:rPr>
          <w:rFonts w:hint="eastAsia"/>
        </w:rPr>
        <w:t>负责组织办公用房维修项目全流程管理，包括但不限于项目立项、组织设计、工程量清单编制，组织开展招标代理、项目管理、工程监理、维修施工等供应商的采购遴选，承担项目安全、质量、进度和成本控制工作，并负责与需求方等各方开展沟通协调工作的责任单位。实施单位可以是机关事务管理部门，也可以是使用单位自身。</w:t>
      </w:r>
    </w:p>
    <w:p>
      <w:pPr>
        <w:pStyle w:val="227"/>
        <w:ind w:left="420" w:hanging="420" w:hangingChars="200"/>
        <w:rPr>
          <w:rFonts w:ascii="黑体" w:hAnsi="黑体" w:eastAsia="黑体"/>
        </w:rPr>
      </w:pPr>
    </w:p>
    <w:p>
      <w:pPr>
        <w:pStyle w:val="227"/>
        <w:numPr>
          <w:ilvl w:val="0"/>
          <w:numId w:val="0"/>
        </w:numPr>
        <w:ind w:left="420"/>
        <w:rPr>
          <w:rFonts w:ascii="黑体" w:hAnsi="黑体" w:eastAsia="黑体"/>
        </w:rPr>
      </w:pPr>
      <w:r>
        <w:rPr>
          <w:rFonts w:hint="eastAsia" w:ascii="黑体" w:hAnsi="黑体" w:eastAsia="黑体"/>
        </w:rPr>
        <w:t xml:space="preserve">项目使用单位  Project User Unit </w:t>
      </w:r>
    </w:p>
    <w:p>
      <w:pPr>
        <w:pStyle w:val="60"/>
        <w:ind w:firstLine="420"/>
      </w:pPr>
      <w:r>
        <w:rPr>
          <w:rFonts w:hint="eastAsia"/>
        </w:rPr>
        <w:t>提出办公用房维修需求，享有项目对应办公用房实体使用权，承受维修项目实施效益的单位。</w:t>
      </w:r>
    </w:p>
    <w:p>
      <w:pPr>
        <w:pStyle w:val="227"/>
        <w:ind w:left="420" w:hanging="420" w:hangingChars="200"/>
        <w:rPr>
          <w:rFonts w:ascii="黑体" w:hAnsi="黑体" w:eastAsia="黑体"/>
        </w:rPr>
      </w:pPr>
    </w:p>
    <w:p>
      <w:pPr>
        <w:pStyle w:val="227"/>
        <w:numPr>
          <w:ilvl w:val="0"/>
          <w:numId w:val="0"/>
        </w:numPr>
        <w:ind w:left="420"/>
        <w:rPr>
          <w:rFonts w:hint="eastAsia" w:ascii="黑体" w:hAnsi="黑体" w:eastAsia="黑体"/>
        </w:rPr>
      </w:pPr>
      <w:r>
        <w:rPr>
          <w:rFonts w:hint="eastAsia" w:ascii="黑体" w:hAnsi="黑体" w:eastAsia="黑体"/>
        </w:rPr>
        <w:t>项目管理单位  Project Management Unit</w:t>
      </w:r>
    </w:p>
    <w:p>
      <w:pPr>
        <w:pStyle w:val="60"/>
        <w:ind w:firstLine="420"/>
      </w:pPr>
      <w:r>
        <w:rPr>
          <w:rFonts w:hint="eastAsia"/>
        </w:rPr>
        <w:t>指受项目实施单位委托，根据代建方面的国家法律法规，以独立和专业的项目管理主体身份代为履行办公用房维修项目管理权责的中介单位。</w:t>
      </w:r>
    </w:p>
    <w:p>
      <w:pPr>
        <w:pStyle w:val="227"/>
        <w:ind w:left="420" w:hanging="420" w:hangingChars="200"/>
        <w:rPr>
          <w:rFonts w:ascii="黑体" w:hAnsi="黑体" w:eastAsia="黑体"/>
        </w:rPr>
      </w:pPr>
    </w:p>
    <w:p>
      <w:pPr>
        <w:pStyle w:val="227"/>
        <w:numPr>
          <w:ilvl w:val="0"/>
          <w:numId w:val="0"/>
        </w:numPr>
        <w:ind w:left="420"/>
        <w:rPr>
          <w:rFonts w:hint="eastAsia" w:ascii="黑体" w:hAnsi="黑体" w:eastAsia="黑体"/>
        </w:rPr>
      </w:pPr>
      <w:r>
        <w:rPr>
          <w:rFonts w:hint="eastAsia" w:ascii="黑体" w:hAnsi="黑体" w:eastAsia="黑体"/>
        </w:rPr>
        <w:t>项目监理单位  Project Supervision Unit</w:t>
      </w:r>
    </w:p>
    <w:p>
      <w:pPr>
        <w:pStyle w:val="60"/>
        <w:ind w:firstLine="420"/>
      </w:pPr>
      <w:r>
        <w:rPr>
          <w:rFonts w:hint="eastAsia"/>
        </w:rPr>
        <w:t>受项目实施单位委托，依据法律法规、工程建设标准、勘察设计文件及合同，在办公用房维修项目中独立行使监理职权，对工程项目质量、进度、安全和成本等实施全过程监理的单位。</w:t>
      </w:r>
    </w:p>
    <w:p>
      <w:pPr>
        <w:pStyle w:val="227"/>
        <w:ind w:left="420" w:hanging="420" w:hangingChars="200"/>
        <w:rPr>
          <w:rFonts w:ascii="黑体" w:hAnsi="黑体" w:eastAsia="黑体"/>
        </w:rPr>
      </w:pPr>
    </w:p>
    <w:p>
      <w:pPr>
        <w:pStyle w:val="227"/>
        <w:numPr>
          <w:ilvl w:val="0"/>
          <w:numId w:val="0"/>
        </w:numPr>
        <w:ind w:left="420"/>
        <w:rPr>
          <w:rFonts w:hint="eastAsia" w:ascii="黑体" w:hAnsi="黑体" w:eastAsia="黑体"/>
        </w:rPr>
      </w:pPr>
      <w:r>
        <w:rPr>
          <w:rFonts w:hint="eastAsia" w:ascii="黑体" w:hAnsi="黑体" w:eastAsia="黑体"/>
        </w:rPr>
        <w:t>项目施工单位  Project Construction Unit</w:t>
      </w:r>
    </w:p>
    <w:p>
      <w:pPr>
        <w:pStyle w:val="60"/>
        <w:ind w:firstLine="420"/>
      </w:pPr>
      <w:r>
        <w:rPr>
          <w:rFonts w:hint="eastAsia"/>
        </w:rPr>
        <w:t>承担办公用房维修项目现场施工任务，并按照国家法律法规和合同约定承担工程施工、履行质量、安全、进度、成本、资料报送和结算等施工主体责任的承包单位。</w:t>
      </w:r>
    </w:p>
    <w:p>
      <w:pPr>
        <w:pStyle w:val="108"/>
        <w:spacing w:before="312" w:after="312"/>
      </w:pPr>
      <w:bookmarkStart w:id="50" w:name="_Toc16764"/>
      <w:bookmarkStart w:id="51" w:name="_Toc241609776"/>
      <w:bookmarkStart w:id="52" w:name="_Toc241610292"/>
      <w:r>
        <w:rPr>
          <w:rFonts w:hint="eastAsia"/>
        </w:rPr>
        <w:t>总体要求</w:t>
      </w:r>
      <w:bookmarkEnd w:id="50"/>
      <w:bookmarkEnd w:id="51"/>
      <w:bookmarkEnd w:id="52"/>
    </w:p>
    <w:p>
      <w:pPr>
        <w:pStyle w:val="166"/>
      </w:pPr>
      <w:r>
        <w:rPr>
          <w:rFonts w:hint="eastAsia"/>
        </w:rPr>
        <w:t>办公用房维修应严格贯彻落实厉行节约反对浪费有关规定，遵循简朴庄重、经济适用的原则，以消除安全隐患、恢复和完善使用功能、降低能源资源消耗为重点，严格履行审批程序，严格执行维修改造标准，不得变相新改扩建，严禁以维修改造名义搞超标准装修和豪华装修。</w:t>
      </w:r>
    </w:p>
    <w:p>
      <w:pPr>
        <w:pStyle w:val="166"/>
      </w:pPr>
      <w:r>
        <w:rPr>
          <w:rFonts w:hint="eastAsia"/>
        </w:rPr>
        <w:t>办公用房维修项目所需经费应纳入财政预算管理，未经审批的项目不得安排预算。维修专项资金管理应坚持规划先行、突出重点、规范管理、应急调整、统分结合的原则。</w:t>
      </w:r>
    </w:p>
    <w:p>
      <w:pPr>
        <w:pStyle w:val="166"/>
      </w:pPr>
      <w:r>
        <w:rPr>
          <w:rFonts w:hint="eastAsia"/>
        </w:rPr>
        <w:t>办公用房维修应加强建筑节能、环保改造，选用节能环保材料和设备。</w:t>
      </w:r>
    </w:p>
    <w:p>
      <w:pPr>
        <w:pStyle w:val="166"/>
      </w:pPr>
      <w:r>
        <w:rPr>
          <w:rFonts w:hint="eastAsia"/>
        </w:rPr>
        <w:t>办公用房维修管理应实行“五统四化”运作模式，即统一申报、统一查勘、统一规划、统一审批、统一实施五个统一，坚持流程化管理、标准化实施、精细化服务、规范化运作。</w:t>
      </w:r>
    </w:p>
    <w:p>
      <w:pPr>
        <w:pStyle w:val="108"/>
        <w:spacing w:before="312" w:after="312"/>
      </w:pPr>
      <w:bookmarkStart w:id="53" w:name="_Toc649"/>
      <w:bookmarkStart w:id="54" w:name="_Toc241609777"/>
      <w:bookmarkStart w:id="55" w:name="_Toc241610293"/>
      <w:r>
        <w:rPr>
          <w:rFonts w:hint="eastAsia"/>
        </w:rPr>
        <w:t>管理职责</w:t>
      </w:r>
      <w:bookmarkEnd w:id="53"/>
      <w:bookmarkEnd w:id="54"/>
      <w:bookmarkEnd w:id="55"/>
    </w:p>
    <w:p>
      <w:pPr>
        <w:pStyle w:val="166"/>
      </w:pPr>
      <w:r>
        <w:rPr>
          <w:rFonts w:hint="eastAsia"/>
        </w:rPr>
        <w:t>机关事务管理部门（项目实施单位）职责如下：</w:t>
      </w:r>
    </w:p>
    <w:p>
      <w:pPr>
        <w:pStyle w:val="178"/>
      </w:pPr>
      <w:r>
        <w:rPr>
          <w:rFonts w:hint="eastAsia"/>
        </w:rPr>
        <w:t>负责省直机关办公用房维修项目管理；</w:t>
      </w:r>
    </w:p>
    <w:p>
      <w:pPr>
        <w:pStyle w:val="178"/>
      </w:pPr>
      <w:r>
        <w:rPr>
          <w:rFonts w:hint="eastAsia"/>
        </w:rPr>
        <w:t>制定办公用房维修和服务标准；统一发布省直机关办公用房维修规划指南；</w:t>
      </w:r>
    </w:p>
    <w:p>
      <w:pPr>
        <w:pStyle w:val="178"/>
      </w:pPr>
      <w:r>
        <w:rPr>
          <w:rFonts w:hint="eastAsia"/>
        </w:rPr>
        <w:t>统一受理省直机关办公用房维修项目申报；</w:t>
      </w:r>
    </w:p>
    <w:p>
      <w:pPr>
        <w:pStyle w:val="178"/>
      </w:pPr>
      <w:r>
        <w:rPr>
          <w:rFonts w:hint="eastAsia"/>
        </w:rPr>
        <w:t>统一组织现场勘查和论证；</w:t>
      </w:r>
    </w:p>
    <w:p>
      <w:pPr>
        <w:pStyle w:val="178"/>
      </w:pPr>
      <w:r>
        <w:rPr>
          <w:rFonts w:hint="eastAsia"/>
        </w:rPr>
        <w:t>组织相关职能部门和专家对维修规划项目库进行集中会审；</w:t>
      </w:r>
    </w:p>
    <w:p>
      <w:pPr>
        <w:pStyle w:val="178"/>
      </w:pPr>
      <w:r>
        <w:rPr>
          <w:rFonts w:hint="eastAsia"/>
        </w:rPr>
        <w:t>编制省直机关办公用房维修规划，建立省直机关维修规划项目库；</w:t>
      </w:r>
    </w:p>
    <w:p>
      <w:pPr>
        <w:pStyle w:val="178"/>
      </w:pPr>
      <w:r>
        <w:rPr>
          <w:rFonts w:hint="eastAsia"/>
        </w:rPr>
        <w:t>统一办理维修项目立项审批；</w:t>
      </w:r>
    </w:p>
    <w:p>
      <w:pPr>
        <w:pStyle w:val="178"/>
      </w:pPr>
      <w:r>
        <w:rPr>
          <w:rFonts w:hint="eastAsia"/>
        </w:rPr>
        <w:t>负责落实省直机关办公用房维修项目绩效管理主体责任；</w:t>
      </w:r>
    </w:p>
    <w:p>
      <w:pPr>
        <w:pStyle w:val="178"/>
      </w:pPr>
      <w:r>
        <w:rPr>
          <w:rFonts w:hint="eastAsia"/>
        </w:rPr>
        <w:t>参与规划内维修项目预算评审，在总量控制下提出资金分配预案；</w:t>
      </w:r>
    </w:p>
    <w:p>
      <w:pPr>
        <w:pStyle w:val="178"/>
      </w:pPr>
      <w:r>
        <w:rPr>
          <w:rFonts w:hint="eastAsia"/>
        </w:rPr>
        <w:t>组织对施工图设计、造价咨询、项目监理、项目管理等服务供应商进行政府采购，并制定相关管理制度，加强对中标服务供应商的使用管理和监督考核；</w:t>
      </w:r>
    </w:p>
    <w:p>
      <w:pPr>
        <w:pStyle w:val="178"/>
      </w:pPr>
      <w:r>
        <w:rPr>
          <w:rFonts w:hint="eastAsia"/>
        </w:rPr>
        <w:t>对维修项目实施、变工验收进行监督管理；</w:t>
      </w:r>
    </w:p>
    <w:p>
      <w:pPr>
        <w:pStyle w:val="178"/>
      </w:pPr>
      <w:r>
        <w:rPr>
          <w:rFonts w:hint="eastAsia"/>
        </w:rPr>
        <w:t>组织大、中维修项目实施、建设管理、竣工决算和全过程预算绩效管理；</w:t>
      </w:r>
    </w:p>
    <w:p>
      <w:pPr>
        <w:pStyle w:val="178"/>
      </w:pPr>
      <w:r>
        <w:rPr>
          <w:rFonts w:hint="eastAsia"/>
        </w:rPr>
        <w:t>监督和指导委托省直机关管理的维修项目实施并参与竣工验收等；</w:t>
      </w:r>
    </w:p>
    <w:p>
      <w:pPr>
        <w:pStyle w:val="178"/>
      </w:pPr>
      <w:r>
        <w:rPr>
          <w:rFonts w:hint="eastAsia"/>
        </w:rPr>
        <w:t>其他应由省机关管理部门承担的相关责任。</w:t>
      </w:r>
    </w:p>
    <w:p>
      <w:pPr>
        <w:pStyle w:val="166"/>
      </w:pPr>
      <w:r>
        <w:rPr>
          <w:rFonts w:hint="eastAsia"/>
        </w:rPr>
        <w:t>财政部门职责如下：</w:t>
      </w:r>
    </w:p>
    <w:p>
      <w:pPr>
        <w:pStyle w:val="178"/>
        <w:numPr>
          <w:ilvl w:val="0"/>
          <w:numId w:val="32"/>
        </w:numPr>
      </w:pPr>
      <w:r>
        <w:t>负责维修资金管理；</w:t>
      </w:r>
    </w:p>
    <w:p>
      <w:pPr>
        <w:pStyle w:val="178"/>
      </w:pPr>
      <w:r>
        <w:t>会同省机关事务管理局制定办公用房维修预算支出定额标准和有关开支标准；</w:t>
      </w:r>
    </w:p>
    <w:p>
      <w:pPr>
        <w:pStyle w:val="178"/>
      </w:pPr>
      <w:r>
        <w:t>督促指导省机关事务管理局建立健全项目库；</w:t>
      </w:r>
    </w:p>
    <w:p>
      <w:pPr>
        <w:pStyle w:val="178"/>
      </w:pPr>
      <w:r>
        <w:t>组织规划内纳入评审范围的维修项目预算评审；</w:t>
      </w:r>
    </w:p>
    <w:p>
      <w:pPr>
        <w:pStyle w:val="178"/>
      </w:pPr>
      <w:r>
        <w:t>审核维修资金分配方案；</w:t>
      </w:r>
    </w:p>
    <w:p>
      <w:pPr>
        <w:pStyle w:val="178"/>
      </w:pPr>
      <w:r>
        <w:t>下达和调整维修项目预算；</w:t>
      </w:r>
    </w:p>
    <w:p>
      <w:pPr>
        <w:pStyle w:val="178"/>
      </w:pPr>
      <w:r>
        <w:t>组织最高投标限价评审；办理维修资金拨付；</w:t>
      </w:r>
    </w:p>
    <w:p>
      <w:pPr>
        <w:pStyle w:val="178"/>
      </w:pPr>
      <w:r>
        <w:t>组织开展全过程预算绩效管理；负责对维修资金使用情况进行监督检查；</w:t>
      </w:r>
    </w:p>
    <w:p>
      <w:pPr>
        <w:pStyle w:val="178"/>
      </w:pPr>
      <w:r>
        <w:t>参与省直机关办公用房维修规划编制和集中会审等</w:t>
      </w:r>
      <w:r>
        <w:rPr>
          <w:rFonts w:hint="eastAsia"/>
        </w:rPr>
        <w:t>；</w:t>
      </w:r>
    </w:p>
    <w:p>
      <w:pPr>
        <w:pStyle w:val="178"/>
      </w:pPr>
      <w:r>
        <w:rPr>
          <w:rFonts w:hint="eastAsia"/>
        </w:rPr>
        <w:t>其他应由财部部门承担的相关责任。</w:t>
      </w:r>
    </w:p>
    <w:p>
      <w:pPr>
        <w:pStyle w:val="166"/>
      </w:pPr>
      <w:r>
        <w:rPr>
          <w:rFonts w:hint="eastAsia"/>
        </w:rPr>
        <w:t>项目使用单位职责如下：</w:t>
      </w:r>
    </w:p>
    <w:p>
      <w:pPr>
        <w:pStyle w:val="178"/>
        <w:numPr>
          <w:ilvl w:val="0"/>
          <w:numId w:val="33"/>
        </w:numPr>
      </w:pPr>
      <w:r>
        <w:rPr>
          <w:rFonts w:hint="eastAsia"/>
        </w:rPr>
        <w:t>承担房屋使用安全责任，负责房屋日常维修、检查、安全鉴定、大中型维修规划和计划申报；</w:t>
      </w:r>
    </w:p>
    <w:p>
      <w:pPr>
        <w:pStyle w:val="178"/>
      </w:pPr>
      <w:r>
        <w:rPr>
          <w:rFonts w:hint="eastAsia"/>
        </w:rPr>
        <w:t>配合维修项目预算评审，提供有关评审资料；</w:t>
      </w:r>
    </w:p>
    <w:p>
      <w:pPr>
        <w:pStyle w:val="178"/>
      </w:pPr>
      <w:r>
        <w:rPr>
          <w:rFonts w:hint="eastAsia"/>
        </w:rPr>
        <w:t>按要求申报维修项目立项；</w:t>
      </w:r>
    </w:p>
    <w:p>
      <w:pPr>
        <w:pStyle w:val="178"/>
      </w:pPr>
      <w:r>
        <w:rPr>
          <w:rFonts w:hint="eastAsia"/>
        </w:rPr>
        <w:t>配合做好维修项目现场施工管理和安全工作；</w:t>
      </w:r>
    </w:p>
    <w:p>
      <w:pPr>
        <w:pStyle w:val="178"/>
      </w:pPr>
      <w:r>
        <w:rPr>
          <w:rFonts w:hint="eastAsia"/>
        </w:rPr>
        <w:t>组织日常维修项目和受委托管理的维修项目的实施、建设管理、竣工决算和全过程预算绩效管理；</w:t>
      </w:r>
    </w:p>
    <w:p>
      <w:pPr>
        <w:pStyle w:val="178"/>
      </w:pPr>
      <w:r>
        <w:rPr>
          <w:rFonts w:hint="eastAsia"/>
        </w:rPr>
        <w:t>加强对维修资金规范管理，做到专款专用，不截留、挤占和挪用；</w:t>
      </w:r>
    </w:p>
    <w:p>
      <w:pPr>
        <w:pStyle w:val="178"/>
      </w:pPr>
      <w:r>
        <w:rPr>
          <w:rFonts w:hint="eastAsia"/>
        </w:rPr>
        <w:t>其他办公用房日常使用管理的职责；</w:t>
      </w:r>
    </w:p>
    <w:p>
      <w:pPr>
        <w:pStyle w:val="178"/>
      </w:pPr>
      <w:r>
        <w:rPr>
          <w:rFonts w:hint="eastAsia"/>
        </w:rPr>
        <w:t>其他应由使用单位承担的相关责任。</w:t>
      </w:r>
    </w:p>
    <w:p>
      <w:pPr>
        <w:pStyle w:val="166"/>
      </w:pPr>
      <w:r>
        <w:rPr>
          <w:rFonts w:hint="eastAsia"/>
        </w:rPr>
        <w:t>项目管理单位职责如下：</w:t>
      </w:r>
    </w:p>
    <w:p>
      <w:pPr>
        <w:pStyle w:val="178"/>
        <w:numPr>
          <w:ilvl w:val="0"/>
          <w:numId w:val="34"/>
        </w:numPr>
      </w:pPr>
      <w:r>
        <w:rPr>
          <w:rFonts w:hint="eastAsia"/>
        </w:rPr>
        <w:t>配合机关事务管理部门开展维修项目现场勘查、技术论证等前期工作；</w:t>
      </w:r>
    </w:p>
    <w:p>
      <w:pPr>
        <w:pStyle w:val="178"/>
      </w:pPr>
      <w:r>
        <w:rPr>
          <w:rFonts w:hint="eastAsia"/>
        </w:rPr>
        <w:t>配合机关事务管理部门组织图纸会审、设计交底，审核施工组织设计及专项施工方案；</w:t>
      </w:r>
    </w:p>
    <w:p>
      <w:pPr>
        <w:pStyle w:val="178"/>
      </w:pPr>
      <w:r>
        <w:rPr>
          <w:rFonts w:hint="eastAsia"/>
        </w:rPr>
        <w:t>协助机关事务管理部门统筹施工现场协调管理，审核工程计量与进度支付资料；</w:t>
      </w:r>
    </w:p>
    <w:p>
      <w:pPr>
        <w:pStyle w:val="178"/>
      </w:pPr>
      <w:r>
        <w:rPr>
          <w:rFonts w:hint="eastAsia"/>
        </w:rPr>
        <w:t>协助规范管理工程变更、现场签证，严控项目投资；</w:t>
      </w:r>
    </w:p>
    <w:p>
      <w:pPr>
        <w:pStyle w:val="178"/>
      </w:pPr>
      <w:r>
        <w:rPr>
          <w:rFonts w:hint="eastAsia"/>
        </w:rPr>
        <w:t>协助组织竣工预验收，归集整理项目建设档案，提请组织竣工验收；</w:t>
      </w:r>
    </w:p>
    <w:p>
      <w:pPr>
        <w:pStyle w:val="178"/>
      </w:pPr>
      <w:r>
        <w:rPr>
          <w:rFonts w:hint="eastAsia"/>
        </w:rPr>
        <w:t>做好项目管理档案归档工作；</w:t>
      </w:r>
    </w:p>
    <w:p>
      <w:pPr>
        <w:pStyle w:val="178"/>
      </w:pPr>
      <w:r>
        <w:rPr>
          <w:rFonts w:hint="eastAsia"/>
        </w:rPr>
        <w:t>督促项目施工单位落实缺陷责任期保修工作；</w:t>
      </w:r>
    </w:p>
    <w:p>
      <w:pPr>
        <w:pStyle w:val="178"/>
      </w:pPr>
      <w:r>
        <w:rPr>
          <w:rFonts w:hint="eastAsia"/>
        </w:rPr>
        <w:t>配合开展项目结算、绩效评价、审计及各类监督检查；</w:t>
      </w:r>
    </w:p>
    <w:p>
      <w:pPr>
        <w:pStyle w:val="178"/>
      </w:pPr>
      <w:r>
        <w:rPr>
          <w:rFonts w:hint="eastAsia"/>
        </w:rPr>
        <w:t>完成委托合同及机关事务管理部门交办的其他项目管理工作；</w:t>
      </w:r>
    </w:p>
    <w:p>
      <w:pPr>
        <w:pStyle w:val="178"/>
      </w:pPr>
      <w:r>
        <w:rPr>
          <w:rFonts w:hint="eastAsia"/>
        </w:rPr>
        <w:t>其他应由项目管理单位承担的相关责任。</w:t>
      </w:r>
    </w:p>
    <w:p>
      <w:pPr>
        <w:pStyle w:val="166"/>
      </w:pPr>
      <w:r>
        <w:rPr>
          <w:rFonts w:hint="eastAsia"/>
        </w:rPr>
        <w:t>项目监理机构职责如下：</w:t>
      </w:r>
    </w:p>
    <w:p>
      <w:pPr>
        <w:pStyle w:val="178"/>
        <w:numPr>
          <w:ilvl w:val="0"/>
          <w:numId w:val="35"/>
        </w:numPr>
      </w:pPr>
      <w:r>
        <w:t>参与设计交底，核查施工方案合规性；</w:t>
      </w:r>
    </w:p>
    <w:p>
      <w:pPr>
        <w:pStyle w:val="178"/>
      </w:pPr>
      <w:r>
        <w:t>监督项目施</w:t>
      </w:r>
      <w:r>
        <w:rPr>
          <w:rFonts w:hint="eastAsia"/>
        </w:rPr>
        <w:t>工</w:t>
      </w:r>
      <w:r>
        <w:t>单位工程质量、安全生产、文明施工管理；</w:t>
      </w:r>
    </w:p>
    <w:p>
      <w:pPr>
        <w:pStyle w:val="178"/>
      </w:pPr>
      <w:r>
        <w:t>对进场材料、构配件、设备进行检验，开展旁站、巡查、平行检验；</w:t>
      </w:r>
    </w:p>
    <w:p>
      <w:pPr>
        <w:pStyle w:val="178"/>
      </w:pPr>
      <w:r>
        <w:t>协助机关事务管理部门审核工程计量、进度款支付，核实工程变更及现场签证；</w:t>
      </w:r>
    </w:p>
    <w:p>
      <w:pPr>
        <w:pStyle w:val="178"/>
      </w:pPr>
      <w:r>
        <w:t>参与隐蔽工程、分部分项工程验收，签署监理意见；</w:t>
      </w:r>
    </w:p>
    <w:p>
      <w:pPr>
        <w:pStyle w:val="178"/>
      </w:pPr>
      <w:r>
        <w:t>督促整改施工现场质量安全隐患，及时上报重大问题；</w:t>
      </w:r>
    </w:p>
    <w:p>
      <w:pPr>
        <w:pStyle w:val="178"/>
      </w:pPr>
      <w:r>
        <w:t>编制监理文件资料，参与竣工预验收、竣工验收，出具工程质量评估报告；</w:t>
      </w:r>
    </w:p>
    <w:p>
      <w:pPr>
        <w:pStyle w:val="178"/>
      </w:pPr>
      <w:r>
        <w:t>配合竣工结算、绩效评价、审计及相关监督检查；</w:t>
      </w:r>
    </w:p>
    <w:p>
      <w:pPr>
        <w:pStyle w:val="178"/>
      </w:pPr>
      <w:r>
        <w:t>按照档案管理规定将监理有关文件归档；</w:t>
      </w:r>
    </w:p>
    <w:p>
      <w:pPr>
        <w:pStyle w:val="178"/>
      </w:pPr>
      <w:r>
        <w:t>核查缺陷责任期工程保修实施情况；</w:t>
      </w:r>
    </w:p>
    <w:p>
      <w:pPr>
        <w:pStyle w:val="178"/>
      </w:pPr>
      <w:r>
        <w:t>履行监理合同及法律法规规定的其他监理职责;</w:t>
      </w:r>
    </w:p>
    <w:p>
      <w:pPr>
        <w:pStyle w:val="178"/>
      </w:pPr>
      <w:r>
        <w:t>其他应由</w:t>
      </w:r>
      <w:r>
        <w:rPr>
          <w:rFonts w:hint="eastAsia"/>
        </w:rPr>
        <w:t>项目监理</w:t>
      </w:r>
      <w:r>
        <w:t>单位承担的相关责任。</w:t>
      </w:r>
    </w:p>
    <w:p>
      <w:pPr>
        <w:pStyle w:val="166"/>
      </w:pPr>
      <w:r>
        <w:rPr>
          <w:rFonts w:hint="eastAsia"/>
        </w:rPr>
        <w:t>项目施工单位除包含国家规律法规规定的所有责任外，且不限于以下责任:</w:t>
      </w:r>
    </w:p>
    <w:p>
      <w:pPr>
        <w:pStyle w:val="178"/>
        <w:numPr>
          <w:ilvl w:val="0"/>
          <w:numId w:val="36"/>
        </w:numPr>
      </w:pPr>
      <w:r>
        <w:rPr>
          <w:rFonts w:hint="eastAsia"/>
        </w:rPr>
        <w:t>参加技术交底会，对图纸存在错漏碰缺问题及可优化方面提出书面反馈；</w:t>
      </w:r>
    </w:p>
    <w:p>
      <w:pPr>
        <w:pStyle w:val="178"/>
      </w:pPr>
      <w:r>
        <w:rPr>
          <w:rFonts w:hint="eastAsia"/>
        </w:rPr>
        <w:t>严格执行设计变更和工程签证相关管理流程，按要求提交工作联系函、经济技术签证等资料，项目实施单位未同意变更实施前不得擅自开展变更部位施工；</w:t>
      </w:r>
    </w:p>
    <w:p>
      <w:pPr>
        <w:pStyle w:val="178"/>
      </w:pPr>
      <w:r>
        <w:rPr>
          <w:rFonts w:hint="eastAsia"/>
        </w:rPr>
        <w:t>落实成品保护措施，对既有建筑构件、设备设施、办公物品采取有效防护措施，防止维修施工造成既有部位损坏；</w:t>
      </w:r>
    </w:p>
    <w:p>
      <w:pPr>
        <w:pStyle w:val="178"/>
      </w:pPr>
      <w:r>
        <w:rPr>
          <w:rFonts w:hint="eastAsia"/>
        </w:rPr>
        <w:t>收集、整理施工全过程技术资料、试验检测资料、隐蔽工程记录，同步编制竣工资料、竣工图，确保资料真实齐全，按时提交归档；</w:t>
      </w:r>
    </w:p>
    <w:p>
      <w:pPr>
        <w:pStyle w:val="178"/>
      </w:pPr>
      <w:r>
        <w:rPr>
          <w:rFonts w:hint="eastAsia"/>
        </w:rPr>
        <w:t>负责施工现场人员、机械设备管理，特种作业人员持证上岗；</w:t>
      </w:r>
    </w:p>
    <w:p>
      <w:pPr>
        <w:pStyle w:val="178"/>
      </w:pPr>
      <w:r>
        <w:rPr>
          <w:rFonts w:hint="eastAsia"/>
        </w:rPr>
        <w:t>落实作业人员安全教育、技术交底，建立现场作业人员管理台账；</w:t>
      </w:r>
    </w:p>
    <w:p>
      <w:pPr>
        <w:pStyle w:val="178"/>
      </w:pPr>
      <w:r>
        <w:rPr>
          <w:rFonts w:hint="eastAsia"/>
        </w:rPr>
        <w:t>做好施工现场周边环境管控，落实扬尘、噪声、建筑垃圾处置等环保文明措施，减少对使用单位正常办公秩序的干扰；</w:t>
      </w:r>
    </w:p>
    <w:p>
      <w:pPr>
        <w:pStyle w:val="178"/>
      </w:pPr>
      <w:r>
        <w:rPr>
          <w:rFonts w:hint="eastAsia"/>
        </w:rPr>
        <w:t>隐蔽工程施工前，提前报请项目监理单位、项目管理单位和项目实施单位开展现场查验，验收合格后进入下一道工序；</w:t>
      </w:r>
    </w:p>
    <w:p>
      <w:pPr>
        <w:pStyle w:val="178"/>
      </w:pPr>
      <w:r>
        <w:rPr>
          <w:rFonts w:hint="eastAsia"/>
        </w:rPr>
        <w:t>配合各参建单位现场勘查、检查、验收工作，按要求落实各类检查发现问题的整改闭环；</w:t>
      </w:r>
    </w:p>
    <w:p>
      <w:pPr>
        <w:pStyle w:val="178"/>
      </w:pPr>
      <w:r>
        <w:rPr>
          <w:rFonts w:hint="eastAsia"/>
        </w:rPr>
        <w:t>按合同约定配合完成竣工结算工作，完整提供结算所需全套资料；</w:t>
      </w:r>
    </w:p>
    <w:p>
      <w:pPr>
        <w:pStyle w:val="178"/>
      </w:pPr>
      <w:r>
        <w:rPr>
          <w:rFonts w:hint="eastAsia"/>
        </w:rPr>
        <w:t>工程竣工验收合格后，按合同及保修相关规定履行工程质量保修义务；</w:t>
      </w:r>
    </w:p>
    <w:p>
      <w:pPr>
        <w:pStyle w:val="178"/>
      </w:pPr>
      <w:r>
        <w:rPr>
          <w:rFonts w:hint="eastAsia"/>
        </w:rPr>
        <w:t>服从项目实施、管理和监理的现场管理，主动协调处理施工现场各类作业矛盾；</w:t>
      </w:r>
    </w:p>
    <w:p>
      <w:pPr>
        <w:pStyle w:val="178"/>
      </w:pPr>
      <w:r>
        <w:rPr>
          <w:rFonts w:hint="eastAsia"/>
        </w:rPr>
        <w:t>其他应由施工单位承担的相关责任。</w:t>
      </w:r>
    </w:p>
    <w:p>
      <w:pPr>
        <w:pStyle w:val="108"/>
        <w:spacing w:before="312" w:after="312"/>
      </w:pPr>
      <w:bookmarkStart w:id="56" w:name="_Toc241609778"/>
      <w:bookmarkStart w:id="57" w:name="_Toc791"/>
      <w:bookmarkStart w:id="58" w:name="_Toc241610294"/>
      <w:r>
        <w:rPr>
          <w:rFonts w:hint="eastAsia"/>
        </w:rPr>
        <w:t>维修分类与判定</w:t>
      </w:r>
      <w:bookmarkEnd w:id="56"/>
      <w:bookmarkEnd w:id="57"/>
      <w:bookmarkEnd w:id="58"/>
    </w:p>
    <w:p>
      <w:pPr>
        <w:pStyle w:val="109"/>
        <w:spacing w:before="156" w:after="156"/>
      </w:pPr>
      <w:bookmarkStart w:id="59" w:name="_Toc241609779"/>
      <w:bookmarkStart w:id="60" w:name="_Toc241610295"/>
      <w:bookmarkStart w:id="61" w:name="_Toc7674"/>
      <w:r>
        <w:rPr>
          <w:rFonts w:hint="eastAsia"/>
        </w:rPr>
        <w:t>维修分类</w:t>
      </w:r>
      <w:bookmarkEnd w:id="59"/>
      <w:bookmarkEnd w:id="60"/>
      <w:bookmarkEnd w:id="61"/>
    </w:p>
    <w:p>
      <w:pPr>
        <w:pStyle w:val="169"/>
      </w:pPr>
      <w:r>
        <w:rPr>
          <w:rFonts w:hint="eastAsia"/>
        </w:rPr>
        <w:t>办公用房维修按资金规模分为大型维修、中型维修、小型维修和日常维修四类。</w:t>
      </w:r>
    </w:p>
    <w:p>
      <w:pPr>
        <w:pStyle w:val="169"/>
      </w:pPr>
      <w:r>
        <w:rPr>
          <w:rFonts w:hint="eastAsia"/>
        </w:rPr>
        <w:t>办公用房维修按复杂程度分为综合维修和专项维修两类。</w:t>
      </w:r>
    </w:p>
    <w:p>
      <w:pPr>
        <w:pStyle w:val="169"/>
      </w:pPr>
      <w:r>
        <w:rPr>
          <w:rFonts w:hint="eastAsia"/>
        </w:rPr>
        <w:t>办公用房维修按建筑系统可分为承重结构系统维修、围护结构系统维修、装饰装修系统维修、给排水系统维修、通风与空调系统维修、电气系统维修、电梯系统维修、消防系统维修、智能化系统维修、建筑节能系统维修和附属设施维修。</w:t>
      </w:r>
    </w:p>
    <w:p>
      <w:pPr>
        <w:pStyle w:val="109"/>
        <w:spacing w:before="156" w:after="156"/>
      </w:pPr>
      <w:bookmarkStart w:id="62" w:name="_Toc241609780"/>
      <w:bookmarkStart w:id="63" w:name="_Toc155"/>
      <w:bookmarkStart w:id="64" w:name="_Toc241610296"/>
      <w:r>
        <w:rPr>
          <w:rFonts w:hint="eastAsia"/>
        </w:rPr>
        <w:t>维修项目判定条件</w:t>
      </w:r>
      <w:bookmarkEnd w:id="62"/>
      <w:bookmarkEnd w:id="63"/>
      <w:bookmarkEnd w:id="64"/>
    </w:p>
    <w:p>
      <w:pPr>
        <w:pStyle w:val="169"/>
      </w:pPr>
      <w:r>
        <w:rPr>
          <w:rFonts w:hint="eastAsia"/>
        </w:rPr>
        <w:t>办公用房符合下列条件之一时，应进行综合维修：</w:t>
      </w:r>
    </w:p>
    <w:p>
      <w:pPr>
        <w:pStyle w:val="178"/>
        <w:numPr>
          <w:ilvl w:val="0"/>
          <w:numId w:val="37"/>
        </w:numPr>
      </w:pPr>
      <w:r>
        <w:rPr>
          <w:rFonts w:hint="eastAsia"/>
        </w:rPr>
        <w:t>办公用房建成并已投入使用15年以上（或距上次相关部位的综合维修已15年以上），且存在设施设备老化、功能不全和安全隐患，不能满足办公要求的；</w:t>
      </w:r>
    </w:p>
    <w:p>
      <w:pPr>
        <w:pStyle w:val="178"/>
      </w:pPr>
      <w:r>
        <w:rPr>
          <w:rFonts w:hint="eastAsia"/>
        </w:rPr>
        <w:t>因办公用房搬迁、调整造成办公用房功能和用途不能满足办公要求的。</w:t>
      </w:r>
    </w:p>
    <w:p>
      <w:pPr>
        <w:pStyle w:val="169"/>
      </w:pPr>
      <w:r>
        <w:rPr>
          <w:rFonts w:hint="eastAsia"/>
        </w:rPr>
        <w:t>办公用房未达到综合维修标准，但存在结构、空调、消防、给排水和智能化等3个以下的建筑分部系统需要进行系统性维修时，或距上次相关部位的专项维修改造已10年以上且有维修改造必要时，应进行专项维修。</w:t>
      </w:r>
    </w:p>
    <w:p>
      <w:pPr>
        <w:pStyle w:val="169"/>
      </w:pPr>
      <w:r>
        <w:rPr>
          <w:rFonts w:hint="eastAsia"/>
        </w:rPr>
        <w:t>日常维修范围包括：</w:t>
      </w:r>
    </w:p>
    <w:p>
      <w:pPr>
        <w:pStyle w:val="178"/>
        <w:numPr>
          <w:ilvl w:val="0"/>
          <w:numId w:val="38"/>
        </w:numPr>
      </w:pPr>
      <w:r>
        <w:rPr>
          <w:rFonts w:hint="eastAsia"/>
        </w:rPr>
        <w:t>及时修复或排除房屋及其设备设施的轻微安全隐患或小损伤故障；</w:t>
      </w:r>
    </w:p>
    <w:p>
      <w:pPr>
        <w:pStyle w:val="178"/>
        <w:numPr>
          <w:ilvl w:val="0"/>
          <w:numId w:val="38"/>
        </w:numPr>
      </w:pPr>
      <w:r>
        <w:rPr>
          <w:rFonts w:hint="eastAsia"/>
        </w:rPr>
        <w:t>保持房屋及设备设施正常使用功能的日常维护、保养；</w:t>
      </w:r>
    </w:p>
    <w:p>
      <w:pPr>
        <w:pStyle w:val="178"/>
        <w:numPr>
          <w:ilvl w:val="0"/>
          <w:numId w:val="38"/>
        </w:numPr>
      </w:pPr>
      <w:r>
        <w:rPr>
          <w:rFonts w:hint="eastAsia"/>
        </w:rPr>
        <w:t>各类安全隐患未进行有效排除前的维护和管控；</w:t>
      </w:r>
    </w:p>
    <w:p>
      <w:pPr>
        <w:pStyle w:val="178"/>
        <w:numPr>
          <w:ilvl w:val="0"/>
          <w:numId w:val="38"/>
        </w:numPr>
      </w:pPr>
      <w:r>
        <w:rPr>
          <w:rFonts w:hint="eastAsia"/>
        </w:rPr>
        <w:t>某个或多个建筑分部系统需要局部维修；</w:t>
      </w:r>
    </w:p>
    <w:p>
      <w:pPr>
        <w:pStyle w:val="178"/>
        <w:numPr>
          <w:ilvl w:val="0"/>
          <w:numId w:val="38"/>
        </w:numPr>
      </w:pPr>
      <w:r>
        <w:rPr>
          <w:rFonts w:hint="eastAsia"/>
        </w:rPr>
        <w:t>总投资在50万元以下的零星维修。</w:t>
      </w:r>
    </w:p>
    <w:p>
      <w:pPr>
        <w:pStyle w:val="108"/>
        <w:spacing w:before="312" w:after="312"/>
      </w:pPr>
      <w:bookmarkStart w:id="65" w:name="_Toc25617"/>
      <w:bookmarkStart w:id="66" w:name="_Toc241609781"/>
      <w:bookmarkStart w:id="67" w:name="_Toc241610297"/>
      <w:r>
        <w:rPr>
          <w:rFonts w:hint="eastAsia"/>
        </w:rPr>
        <w:t>维修规划管理</w:t>
      </w:r>
      <w:bookmarkEnd w:id="65"/>
      <w:bookmarkEnd w:id="66"/>
      <w:bookmarkEnd w:id="67"/>
    </w:p>
    <w:p>
      <w:pPr>
        <w:pStyle w:val="109"/>
        <w:spacing w:before="156" w:after="156"/>
      </w:pPr>
      <w:bookmarkStart w:id="68" w:name="_Toc26641"/>
      <w:bookmarkStart w:id="69" w:name="_Toc241610298"/>
      <w:bookmarkStart w:id="70" w:name="_Toc241609782"/>
      <w:r>
        <w:rPr>
          <w:rFonts w:hint="eastAsia"/>
        </w:rPr>
        <w:t>项目申报</w:t>
      </w:r>
      <w:bookmarkEnd w:id="68"/>
      <w:bookmarkEnd w:id="69"/>
      <w:bookmarkEnd w:id="70"/>
    </w:p>
    <w:p>
      <w:pPr>
        <w:pStyle w:val="169"/>
      </w:pPr>
      <w:r>
        <w:rPr>
          <w:rFonts w:hint="eastAsia"/>
        </w:rPr>
        <w:t>在每轮规划编制期间，使用单位应根据办公用房实际情况向机关事务管理部门提出维修项目申请。规划实施期间，除应急项目外，使用单位申报的维修项目原则上纳入下一轮规划编制时考虑。</w:t>
      </w:r>
    </w:p>
    <w:p>
      <w:pPr>
        <w:pStyle w:val="169"/>
      </w:pPr>
      <w:r>
        <w:rPr>
          <w:rFonts w:hint="eastAsia"/>
        </w:rPr>
        <w:t>维修项目申报材料应包括下列要求：</w:t>
      </w:r>
    </w:p>
    <w:p>
      <w:pPr>
        <w:pStyle w:val="178"/>
        <w:numPr>
          <w:ilvl w:val="0"/>
          <w:numId w:val="39"/>
        </w:numPr>
        <w:tabs>
          <w:tab w:val="clear" w:pos="312"/>
        </w:tabs>
      </w:pPr>
      <w:r>
        <w:rPr>
          <w:rFonts w:hint="eastAsia"/>
        </w:rPr>
        <w:t>维修申请报告：载明拟维修建筑（设施）现状情况、建筑面积、使用性质、产权归属、投入使用年限、维修申请事由、申请维修资金总额；</w:t>
      </w:r>
    </w:p>
    <w:p>
      <w:pPr>
        <w:pStyle w:val="178"/>
        <w:numPr>
          <w:ilvl w:val="0"/>
          <w:numId w:val="39"/>
        </w:numPr>
        <w:tabs>
          <w:tab w:val="clear" w:pos="312"/>
        </w:tabs>
      </w:pPr>
      <w:r>
        <w:rPr>
          <w:rFonts w:hint="eastAsia"/>
        </w:rPr>
        <w:t>项目基础情况说明：说明拟维修房屋、设备设施的基本概况，明确本次维修的具体内容、实施范围，清晰界定维修边界；</w:t>
      </w:r>
    </w:p>
    <w:p>
      <w:pPr>
        <w:pStyle w:val="178"/>
        <w:numPr>
          <w:ilvl w:val="0"/>
          <w:numId w:val="39"/>
        </w:numPr>
        <w:tabs>
          <w:tab w:val="clear" w:pos="312"/>
        </w:tabs>
      </w:pPr>
      <w:r>
        <w:rPr>
          <w:rFonts w:hint="eastAsia"/>
        </w:rPr>
        <w:t>维修经费估算资料：提交完整的项目造价估算文件，列明维修项目清单、费用测算依据及明细，确保经费估算合理合规；</w:t>
      </w:r>
    </w:p>
    <w:p>
      <w:pPr>
        <w:pStyle w:val="178"/>
        <w:numPr>
          <w:ilvl w:val="0"/>
          <w:numId w:val="39"/>
        </w:numPr>
        <w:tabs>
          <w:tab w:val="clear" w:pos="312"/>
        </w:tabs>
      </w:pPr>
      <w:r>
        <w:rPr>
          <w:rFonts w:hint="eastAsia"/>
        </w:rPr>
        <w:t>项目现状影像资料：提供能真实、实时、全面反映项目现场实际状况的影像素材，完整留存维修前原始现状依据；</w:t>
      </w:r>
    </w:p>
    <w:p>
      <w:pPr>
        <w:pStyle w:val="178"/>
        <w:numPr>
          <w:ilvl w:val="0"/>
          <w:numId w:val="39"/>
        </w:numPr>
        <w:tabs>
          <w:tab w:val="clear" w:pos="312"/>
        </w:tabs>
      </w:pPr>
      <w:r>
        <w:rPr>
          <w:rFonts w:hint="eastAsia"/>
        </w:rPr>
        <w:t>基本维修方案及建议：结合项目现状制定针对性维修方案，明确维修处置方式、施工基本要求，同步提出项目实施相关建议意见。</w:t>
      </w:r>
    </w:p>
    <w:p>
      <w:pPr>
        <w:pStyle w:val="60"/>
        <w:ind w:firstLine="420"/>
      </w:pPr>
    </w:p>
    <w:p>
      <w:pPr>
        <w:pStyle w:val="109"/>
        <w:spacing w:before="156" w:after="156"/>
      </w:pPr>
      <w:bookmarkStart w:id="71" w:name="_Toc8085"/>
      <w:bookmarkStart w:id="72" w:name="_Toc241610299"/>
      <w:bookmarkStart w:id="73" w:name="_Toc241609783"/>
      <w:r>
        <w:rPr>
          <w:rFonts w:hint="eastAsia"/>
        </w:rPr>
        <w:t>规划编制</w:t>
      </w:r>
      <w:bookmarkEnd w:id="71"/>
      <w:bookmarkEnd w:id="72"/>
      <w:bookmarkEnd w:id="73"/>
    </w:p>
    <w:p>
      <w:pPr>
        <w:pStyle w:val="169"/>
      </w:pPr>
      <w:r>
        <w:rPr>
          <w:rFonts w:hint="eastAsia"/>
        </w:rPr>
        <w:t>机关事务管理部门应依据机关办公用房日常检查、综合检查结果和相关规定以及使用单位的维修项目申请，组织编制办公用房维修规划。</w:t>
      </w:r>
    </w:p>
    <w:p>
      <w:pPr>
        <w:pStyle w:val="169"/>
      </w:pPr>
      <w:r>
        <w:rPr>
          <w:rFonts w:hint="eastAsia"/>
        </w:rPr>
        <w:t>维修规划编制应包括下列程序：</w:t>
      </w:r>
    </w:p>
    <w:p>
      <w:pPr>
        <w:pStyle w:val="178"/>
        <w:numPr>
          <w:ilvl w:val="0"/>
          <w:numId w:val="40"/>
        </w:numPr>
      </w:pPr>
      <w:r>
        <w:rPr>
          <w:rFonts w:hint="eastAsia"/>
        </w:rPr>
        <w:t>发布维修规划编制指南；</w:t>
      </w:r>
    </w:p>
    <w:p>
      <w:pPr>
        <w:pStyle w:val="178"/>
        <w:numPr>
          <w:ilvl w:val="0"/>
          <w:numId w:val="40"/>
        </w:numPr>
      </w:pPr>
      <w:r>
        <w:rPr>
          <w:rFonts w:hint="eastAsia"/>
        </w:rPr>
        <w:t>受理维修项目申报资料并进行初审；</w:t>
      </w:r>
    </w:p>
    <w:p>
      <w:pPr>
        <w:pStyle w:val="178"/>
        <w:numPr>
          <w:ilvl w:val="0"/>
          <w:numId w:val="40"/>
        </w:numPr>
      </w:pPr>
      <w:r>
        <w:rPr>
          <w:rFonts w:hint="eastAsia"/>
        </w:rPr>
        <w:t>组织现场查勘，核实申报项目的产权属性、用途属性、维修范围、分部分项基本工程量；</w:t>
      </w:r>
    </w:p>
    <w:p>
      <w:pPr>
        <w:pStyle w:val="178"/>
        <w:numPr>
          <w:ilvl w:val="0"/>
          <w:numId w:val="40"/>
        </w:numPr>
      </w:pPr>
      <w:r>
        <w:rPr>
          <w:rFonts w:hint="eastAsia"/>
        </w:rPr>
        <w:t>对申报维修项目进行定性评定和造价评估；</w:t>
      </w:r>
    </w:p>
    <w:p>
      <w:pPr>
        <w:pStyle w:val="178"/>
        <w:numPr>
          <w:ilvl w:val="0"/>
          <w:numId w:val="40"/>
        </w:numPr>
      </w:pPr>
      <w:r>
        <w:rPr>
          <w:rFonts w:hint="eastAsia"/>
        </w:rPr>
        <w:t>组织专家对评估报告进行评审；</w:t>
      </w:r>
    </w:p>
    <w:p>
      <w:pPr>
        <w:pStyle w:val="178"/>
        <w:numPr>
          <w:ilvl w:val="0"/>
          <w:numId w:val="40"/>
        </w:numPr>
      </w:pPr>
      <w:r>
        <w:rPr>
          <w:rFonts w:hint="eastAsia"/>
        </w:rPr>
        <w:t>形成维修规划初稿，会商财政部门；</w:t>
      </w:r>
    </w:p>
    <w:p>
      <w:pPr>
        <w:pStyle w:val="178"/>
        <w:numPr>
          <w:ilvl w:val="0"/>
          <w:numId w:val="40"/>
        </w:numPr>
      </w:pPr>
      <w:r>
        <w:rPr>
          <w:rFonts w:hint="eastAsia"/>
        </w:rPr>
        <w:t>报同级人民政府审批。</w:t>
      </w:r>
    </w:p>
    <w:p>
      <w:pPr>
        <w:pStyle w:val="169"/>
      </w:pPr>
      <w:r>
        <w:rPr>
          <w:rFonts w:hint="eastAsia"/>
        </w:rPr>
        <w:t>维修规划应包括下列内容：</w:t>
      </w:r>
    </w:p>
    <w:p>
      <w:pPr>
        <w:pStyle w:val="178"/>
        <w:numPr>
          <w:ilvl w:val="0"/>
          <w:numId w:val="41"/>
        </w:numPr>
      </w:pPr>
      <w:r>
        <w:rPr>
          <w:rFonts w:hint="eastAsia"/>
        </w:rPr>
        <w:t>规划期内维修项目清单；</w:t>
      </w:r>
    </w:p>
    <w:p>
      <w:pPr>
        <w:pStyle w:val="178"/>
        <w:numPr>
          <w:ilvl w:val="0"/>
          <w:numId w:val="41"/>
        </w:numPr>
      </w:pPr>
      <w:r>
        <w:rPr>
          <w:rFonts w:hint="eastAsia"/>
        </w:rPr>
        <w:t>各项目维修内容、范围和标准；</w:t>
      </w:r>
    </w:p>
    <w:p>
      <w:pPr>
        <w:pStyle w:val="178"/>
        <w:numPr>
          <w:ilvl w:val="0"/>
          <w:numId w:val="41"/>
        </w:numPr>
      </w:pPr>
      <w:r>
        <w:rPr>
          <w:rFonts w:hint="eastAsia"/>
        </w:rPr>
        <w:t>投资估算和资金来源；</w:t>
      </w:r>
    </w:p>
    <w:p>
      <w:pPr>
        <w:pStyle w:val="178"/>
        <w:numPr>
          <w:ilvl w:val="0"/>
          <w:numId w:val="41"/>
        </w:numPr>
      </w:pPr>
      <w:r>
        <w:rPr>
          <w:rFonts w:hint="eastAsia"/>
        </w:rPr>
        <w:t>年度实施计划；</w:t>
      </w:r>
    </w:p>
    <w:p>
      <w:pPr>
        <w:pStyle w:val="178"/>
        <w:numPr>
          <w:ilvl w:val="0"/>
          <w:numId w:val="41"/>
        </w:numPr>
      </w:pPr>
      <w:r>
        <w:rPr>
          <w:rFonts w:hint="eastAsia"/>
        </w:rPr>
        <w:t>保障措施。</w:t>
      </w:r>
    </w:p>
    <w:p>
      <w:pPr>
        <w:pStyle w:val="109"/>
        <w:spacing w:before="156" w:after="156"/>
      </w:pPr>
      <w:bookmarkStart w:id="74" w:name="_Toc622"/>
      <w:bookmarkStart w:id="75" w:name="_Toc241610300"/>
      <w:bookmarkStart w:id="76" w:name="_Toc241609784"/>
      <w:r>
        <w:rPr>
          <w:rFonts w:hint="eastAsia"/>
        </w:rPr>
        <w:t>规划</w:t>
      </w:r>
      <w:bookmarkEnd w:id="74"/>
      <w:r>
        <w:rPr>
          <w:rFonts w:hint="eastAsia"/>
        </w:rPr>
        <w:t>实施</w:t>
      </w:r>
      <w:bookmarkEnd w:id="75"/>
      <w:bookmarkEnd w:id="76"/>
    </w:p>
    <w:p>
      <w:pPr>
        <w:pStyle w:val="169"/>
      </w:pPr>
      <w:r>
        <w:rPr>
          <w:rFonts w:hint="eastAsia"/>
        </w:rPr>
        <w:t>维修规划应每3年编制一次。每年根据年度规划维修资金实际额度情况，每年可修订一次。</w:t>
      </w:r>
    </w:p>
    <w:p>
      <w:pPr>
        <w:pStyle w:val="169"/>
      </w:pPr>
      <w:r>
        <w:rPr>
          <w:rFonts w:hint="eastAsia"/>
        </w:rPr>
        <w:t>规划实施阶段，遇年度维修资金额度调整、重大安全隐患处置、</w:t>
      </w:r>
      <w:r>
        <w:t>重要工作安排衍生应急维修项目</w:t>
      </w:r>
      <w:r>
        <w:rPr>
          <w:rFonts w:hint="eastAsia"/>
        </w:rPr>
        <w:t>等情况，可结合实际对规划相关内容进行延迟、核减内容和取消等同步调整。</w:t>
      </w:r>
    </w:p>
    <w:p>
      <w:pPr>
        <w:pStyle w:val="169"/>
      </w:pPr>
      <w:r>
        <w:rPr>
          <w:rFonts w:hint="eastAsia"/>
        </w:rPr>
        <w:t>因特殊原因确需调整的维修项目，应依权限按相关程序审批后组织实施。</w:t>
      </w:r>
    </w:p>
    <w:p>
      <w:pPr>
        <w:pStyle w:val="109"/>
        <w:spacing w:before="156" w:after="156"/>
      </w:pPr>
      <w:bookmarkStart w:id="77" w:name="_Toc490"/>
      <w:bookmarkStart w:id="78" w:name="_Toc241610301"/>
      <w:bookmarkStart w:id="79" w:name="_Toc241609785"/>
      <w:r>
        <w:rPr>
          <w:rFonts w:hint="eastAsia"/>
        </w:rPr>
        <w:t>维修项目库管理</w:t>
      </w:r>
      <w:bookmarkEnd w:id="77"/>
      <w:bookmarkEnd w:id="78"/>
      <w:bookmarkEnd w:id="79"/>
    </w:p>
    <w:p>
      <w:pPr>
        <w:pStyle w:val="169"/>
      </w:pPr>
      <w:r>
        <w:rPr>
          <w:rFonts w:hint="eastAsia"/>
        </w:rPr>
        <w:t>机关事务管理部门对纳入维修规划内的项目实施项目库动态管理，未纳入规划项目库的项目原则上不应在规划年度内安排经费。</w:t>
      </w:r>
      <w:bookmarkStart w:id="80" w:name="_Toc32467"/>
    </w:p>
    <w:p>
      <w:pPr>
        <w:pStyle w:val="169"/>
      </w:pPr>
      <w:r>
        <w:rPr>
          <w:rFonts w:hint="eastAsia"/>
        </w:rPr>
        <w:t>对纳入维修项目库但未能在当年度实施的项目，使用单位可以在机关事务管理部门指导下委托具备相应资质的设计单位和预算编制单位，按照批准的项目建议书的要求，提前开展项目设计并编制项目概预算，使项目具备成熟的实施条件。</w:t>
      </w:r>
      <w:bookmarkEnd w:id="80"/>
    </w:p>
    <w:p>
      <w:pPr>
        <w:pStyle w:val="108"/>
        <w:spacing w:before="312" w:after="312"/>
      </w:pPr>
      <w:bookmarkStart w:id="81" w:name="_Toc241609786"/>
      <w:bookmarkStart w:id="82" w:name="_Toc241610302"/>
      <w:r>
        <w:rPr>
          <w:rFonts w:hint="eastAsia"/>
          <w:szCs w:val="24"/>
        </w:rPr>
        <w:t>检查</w:t>
      </w:r>
      <w:bookmarkEnd w:id="81"/>
      <w:bookmarkEnd w:id="82"/>
    </w:p>
    <w:p>
      <w:pPr>
        <w:pStyle w:val="109"/>
        <w:spacing w:before="156" w:after="156"/>
      </w:pPr>
      <w:bookmarkStart w:id="83" w:name="_Toc241609787"/>
      <w:bookmarkStart w:id="84" w:name="_Toc31661"/>
      <w:bookmarkStart w:id="85" w:name="_Toc241610303"/>
      <w:r>
        <w:rPr>
          <w:rFonts w:hint="eastAsia"/>
        </w:rPr>
        <w:t>日常检查</w:t>
      </w:r>
      <w:bookmarkEnd w:id="83"/>
      <w:bookmarkEnd w:id="84"/>
      <w:bookmarkEnd w:id="85"/>
    </w:p>
    <w:p>
      <w:pPr>
        <w:pStyle w:val="169"/>
      </w:pPr>
      <w:r>
        <w:rPr>
          <w:rFonts w:hint="eastAsia"/>
        </w:rPr>
        <w:t>使用单位应组织实施日常检查，保存检查资料，也可委托物业服务单位实施。</w:t>
      </w:r>
    </w:p>
    <w:p>
      <w:pPr>
        <w:pStyle w:val="169"/>
      </w:pPr>
      <w:r>
        <w:rPr>
          <w:rFonts w:hint="eastAsia"/>
        </w:rPr>
        <w:t>日常检查应包括下列内容：</w:t>
      </w:r>
    </w:p>
    <w:p>
      <w:pPr>
        <w:pStyle w:val="178"/>
        <w:numPr>
          <w:ilvl w:val="0"/>
          <w:numId w:val="42"/>
        </w:numPr>
      </w:pPr>
      <w:r>
        <w:rPr>
          <w:rFonts w:hint="eastAsia"/>
        </w:rPr>
        <w:t>房屋承重结构的完好状况；</w:t>
      </w:r>
    </w:p>
    <w:p>
      <w:pPr>
        <w:pStyle w:val="178"/>
        <w:numPr>
          <w:ilvl w:val="0"/>
          <w:numId w:val="42"/>
        </w:numPr>
      </w:pPr>
      <w:r>
        <w:rPr>
          <w:rFonts w:hint="eastAsia"/>
        </w:rPr>
        <w:t>屋面、外墙、门窗等围护结构的渗漏、损坏情况；</w:t>
      </w:r>
    </w:p>
    <w:p>
      <w:pPr>
        <w:pStyle w:val="178"/>
        <w:numPr>
          <w:ilvl w:val="0"/>
          <w:numId w:val="42"/>
        </w:numPr>
      </w:pPr>
      <w:r>
        <w:rPr>
          <w:rFonts w:hint="eastAsia"/>
        </w:rPr>
        <w:t>装饰装修层的开裂、空鼓、脱落情况；</w:t>
      </w:r>
    </w:p>
    <w:p>
      <w:pPr>
        <w:pStyle w:val="178"/>
        <w:numPr>
          <w:ilvl w:val="0"/>
          <w:numId w:val="42"/>
        </w:numPr>
      </w:pPr>
      <w:r>
        <w:rPr>
          <w:rFonts w:hint="eastAsia"/>
        </w:rPr>
        <w:t>给排水管道的通畅性和设备运行状况；</w:t>
      </w:r>
    </w:p>
    <w:p>
      <w:pPr>
        <w:pStyle w:val="178"/>
        <w:numPr>
          <w:ilvl w:val="0"/>
          <w:numId w:val="42"/>
        </w:numPr>
      </w:pPr>
      <w:r>
        <w:rPr>
          <w:rFonts w:hint="eastAsia"/>
        </w:rPr>
        <w:t>通风与空调系统的运行状况；</w:t>
      </w:r>
    </w:p>
    <w:p>
      <w:pPr>
        <w:pStyle w:val="178"/>
        <w:numPr>
          <w:ilvl w:val="0"/>
          <w:numId w:val="42"/>
        </w:numPr>
      </w:pPr>
      <w:r>
        <w:rPr>
          <w:rFonts w:hint="eastAsia"/>
        </w:rPr>
        <w:t>电气设备和线路的安全状况；</w:t>
      </w:r>
    </w:p>
    <w:p>
      <w:pPr>
        <w:pStyle w:val="178"/>
        <w:numPr>
          <w:ilvl w:val="0"/>
          <w:numId w:val="42"/>
        </w:numPr>
      </w:pPr>
      <w:r>
        <w:rPr>
          <w:rFonts w:hint="eastAsia"/>
        </w:rPr>
        <w:t>电梯运行状况；</w:t>
      </w:r>
    </w:p>
    <w:p>
      <w:pPr>
        <w:pStyle w:val="178"/>
        <w:numPr>
          <w:ilvl w:val="0"/>
          <w:numId w:val="42"/>
        </w:numPr>
      </w:pPr>
      <w:r>
        <w:rPr>
          <w:rFonts w:hint="eastAsia"/>
        </w:rPr>
        <w:t>消防设施完好状况；</w:t>
      </w:r>
    </w:p>
    <w:p>
      <w:pPr>
        <w:pStyle w:val="178"/>
        <w:numPr>
          <w:ilvl w:val="0"/>
          <w:numId w:val="42"/>
        </w:numPr>
      </w:pPr>
      <w:r>
        <w:rPr>
          <w:rFonts w:hint="eastAsia"/>
        </w:rPr>
        <w:t>智能化系统运行状况。</w:t>
      </w:r>
    </w:p>
    <w:p>
      <w:pPr>
        <w:pStyle w:val="109"/>
        <w:spacing w:before="156" w:after="156"/>
      </w:pPr>
      <w:bookmarkStart w:id="86" w:name="_Toc241610304"/>
      <w:bookmarkStart w:id="87" w:name="_Toc241609788"/>
      <w:bookmarkStart w:id="88" w:name="_Toc14666"/>
      <w:r>
        <w:rPr>
          <w:rFonts w:hint="eastAsia"/>
        </w:rPr>
        <w:t>综合检查</w:t>
      </w:r>
      <w:bookmarkEnd w:id="86"/>
      <w:bookmarkEnd w:id="87"/>
      <w:bookmarkEnd w:id="88"/>
    </w:p>
    <w:p>
      <w:pPr>
        <w:pStyle w:val="169"/>
      </w:pPr>
      <w:r>
        <w:rPr>
          <w:rFonts w:hint="eastAsia"/>
        </w:rPr>
        <w:t>综合检查应在日常检查的基础上，通过仪器检测和必要的荷载试验进行。</w:t>
      </w:r>
    </w:p>
    <w:p>
      <w:pPr>
        <w:pStyle w:val="169"/>
      </w:pPr>
      <w:r>
        <w:rPr>
          <w:rFonts w:hint="eastAsia"/>
        </w:rPr>
        <w:t>综合检查应由具备相应资质的机构承担，必要时还应会同安全、卫生、环保、消防等检测机构进行检查。</w:t>
      </w:r>
    </w:p>
    <w:p>
      <w:pPr>
        <w:pStyle w:val="169"/>
      </w:pPr>
      <w:r>
        <w:rPr>
          <w:rFonts w:hint="eastAsia"/>
        </w:rPr>
        <w:t>综合检查应包括下列情形：</w:t>
      </w:r>
    </w:p>
    <w:p>
      <w:pPr>
        <w:pStyle w:val="178"/>
        <w:numPr>
          <w:ilvl w:val="0"/>
          <w:numId w:val="43"/>
        </w:numPr>
      </w:pPr>
      <w:r>
        <w:rPr>
          <w:rFonts w:hint="eastAsia"/>
        </w:rPr>
        <w:t>发现紧急情况时；</w:t>
      </w:r>
    </w:p>
    <w:p>
      <w:pPr>
        <w:pStyle w:val="178"/>
        <w:numPr>
          <w:ilvl w:val="0"/>
          <w:numId w:val="43"/>
        </w:numPr>
      </w:pPr>
      <w:r>
        <w:rPr>
          <w:rFonts w:hint="eastAsia"/>
        </w:rPr>
        <w:t>地震作用或其他灾害发生后；</w:t>
      </w:r>
    </w:p>
    <w:p>
      <w:pPr>
        <w:pStyle w:val="178"/>
        <w:numPr>
          <w:ilvl w:val="0"/>
          <w:numId w:val="43"/>
        </w:numPr>
      </w:pPr>
      <w:r>
        <w:rPr>
          <w:rFonts w:hint="eastAsia"/>
        </w:rPr>
        <w:t>结构改造、改建或扩建前；</w:t>
      </w:r>
    </w:p>
    <w:p>
      <w:pPr>
        <w:pStyle w:val="178"/>
        <w:numPr>
          <w:ilvl w:val="0"/>
          <w:numId w:val="43"/>
        </w:numPr>
      </w:pPr>
      <w:r>
        <w:rPr>
          <w:rFonts w:hint="eastAsia"/>
        </w:rPr>
        <w:t>建筑物改变用途或使用环境时；</w:t>
      </w:r>
    </w:p>
    <w:p>
      <w:pPr>
        <w:pStyle w:val="178"/>
        <w:numPr>
          <w:ilvl w:val="0"/>
          <w:numId w:val="43"/>
        </w:numPr>
      </w:pPr>
      <w:r>
        <w:rPr>
          <w:rFonts w:hint="eastAsia"/>
        </w:rPr>
        <w:t>有特别重要的任务，须确保房屋在指定期间的安全时。</w:t>
      </w:r>
    </w:p>
    <w:p>
      <w:pPr>
        <w:pStyle w:val="108"/>
        <w:spacing w:before="312" w:after="312"/>
      </w:pPr>
      <w:bookmarkStart w:id="89" w:name="_Toc241609789"/>
      <w:bookmarkStart w:id="90" w:name="_Toc241610305"/>
      <w:bookmarkStart w:id="91" w:name="_Toc30499"/>
      <w:r>
        <w:rPr>
          <w:rFonts w:hint="eastAsia"/>
        </w:rPr>
        <w:t>维修项目实施</w:t>
      </w:r>
      <w:bookmarkEnd w:id="89"/>
      <w:bookmarkEnd w:id="90"/>
      <w:bookmarkEnd w:id="91"/>
    </w:p>
    <w:p>
      <w:pPr>
        <w:pStyle w:val="109"/>
        <w:spacing w:before="156" w:after="156"/>
      </w:pPr>
      <w:bookmarkStart w:id="92" w:name="_Toc24572"/>
      <w:bookmarkStart w:id="93" w:name="_Toc241610306"/>
      <w:bookmarkStart w:id="94" w:name="_Toc241609790"/>
      <w:r>
        <w:rPr>
          <w:rFonts w:hint="eastAsia"/>
        </w:rPr>
        <w:t>前期准备</w:t>
      </w:r>
      <w:bookmarkEnd w:id="92"/>
      <w:bookmarkEnd w:id="93"/>
      <w:bookmarkEnd w:id="94"/>
    </w:p>
    <w:p>
      <w:pPr>
        <w:pStyle w:val="169"/>
      </w:pPr>
      <w:r>
        <w:rPr>
          <w:rFonts w:hint="eastAsia"/>
        </w:rPr>
        <w:t>维修项目实施前应完成下列准备工作：</w:t>
      </w:r>
    </w:p>
    <w:p>
      <w:pPr>
        <w:pStyle w:val="178"/>
        <w:numPr>
          <w:ilvl w:val="0"/>
          <w:numId w:val="44"/>
        </w:numPr>
      </w:pPr>
      <w:r>
        <w:rPr>
          <w:rFonts w:hint="eastAsia"/>
        </w:rPr>
        <w:t>确定维修方案和施工图设计；</w:t>
      </w:r>
    </w:p>
    <w:p>
      <w:pPr>
        <w:pStyle w:val="178"/>
        <w:numPr>
          <w:ilvl w:val="0"/>
          <w:numId w:val="44"/>
        </w:numPr>
      </w:pPr>
      <w:r>
        <w:rPr>
          <w:rFonts w:hint="eastAsia"/>
        </w:rPr>
        <w:t>完成工程预算编制与评审；</w:t>
      </w:r>
    </w:p>
    <w:p>
      <w:pPr>
        <w:pStyle w:val="178"/>
        <w:numPr>
          <w:ilvl w:val="0"/>
          <w:numId w:val="44"/>
        </w:numPr>
      </w:pPr>
      <w:r>
        <w:rPr>
          <w:rFonts w:hint="eastAsia"/>
        </w:rPr>
        <w:t>完成项目采购，确定中标项目施工单位；</w:t>
      </w:r>
    </w:p>
    <w:p>
      <w:pPr>
        <w:pStyle w:val="178"/>
        <w:numPr>
          <w:ilvl w:val="0"/>
          <w:numId w:val="44"/>
        </w:numPr>
      </w:pPr>
      <w:r>
        <w:rPr>
          <w:rFonts w:hint="eastAsia"/>
        </w:rPr>
        <w:t>签订合同；</w:t>
      </w:r>
    </w:p>
    <w:p>
      <w:pPr>
        <w:pStyle w:val="178"/>
        <w:numPr>
          <w:ilvl w:val="0"/>
          <w:numId w:val="44"/>
        </w:numPr>
      </w:pPr>
      <w:r>
        <w:rPr>
          <w:rFonts w:hint="eastAsia"/>
        </w:rPr>
        <w:t>各方责任主体组建项目管理机构。</w:t>
      </w:r>
    </w:p>
    <w:p>
      <w:pPr>
        <w:pStyle w:val="178"/>
        <w:numPr>
          <w:ilvl w:val="0"/>
          <w:numId w:val="44"/>
        </w:numPr>
      </w:pPr>
      <w:r>
        <w:rPr>
          <w:rFonts w:hint="eastAsia"/>
        </w:rPr>
        <w:t>完成现场查勘和技术交底；</w:t>
      </w:r>
    </w:p>
    <w:p>
      <w:pPr>
        <w:pStyle w:val="178"/>
        <w:numPr>
          <w:ilvl w:val="0"/>
          <w:numId w:val="44"/>
        </w:numPr>
      </w:pPr>
      <w:r>
        <w:rPr>
          <w:rFonts w:hint="eastAsia"/>
        </w:rPr>
        <w:t>其他开工前准备工作。</w:t>
      </w:r>
    </w:p>
    <w:p>
      <w:pPr>
        <w:pStyle w:val="169"/>
      </w:pPr>
      <w:r>
        <w:rPr>
          <w:rFonts w:hint="eastAsia"/>
        </w:rPr>
        <w:t>大型、中型和小型维修项目应委托项目管理和项目监理单位负责施工现场管理及监督工作。</w:t>
      </w:r>
    </w:p>
    <w:p>
      <w:pPr>
        <w:pStyle w:val="109"/>
        <w:spacing w:before="156" w:after="156"/>
      </w:pPr>
      <w:bookmarkStart w:id="95" w:name="_Toc241609791"/>
      <w:bookmarkStart w:id="96" w:name="_Toc27381"/>
      <w:bookmarkStart w:id="97" w:name="_Toc241610307"/>
      <w:r>
        <w:rPr>
          <w:rFonts w:hint="eastAsia"/>
        </w:rPr>
        <w:t>设计与预算</w:t>
      </w:r>
      <w:bookmarkEnd w:id="95"/>
      <w:bookmarkEnd w:id="96"/>
      <w:bookmarkEnd w:id="97"/>
    </w:p>
    <w:p>
      <w:pPr>
        <w:pStyle w:val="169"/>
      </w:pPr>
      <w:r>
        <w:rPr>
          <w:rFonts w:hint="eastAsia"/>
        </w:rPr>
        <w:t>设计单位应根据设计任务书和维修需求对现场进行详细勘察后开展设计，采取两阶段设计，第一阶段为方案设计阶段，第二阶段为施工图设计阶段。</w:t>
      </w:r>
    </w:p>
    <w:p>
      <w:pPr>
        <w:pStyle w:val="169"/>
      </w:pPr>
      <w:r>
        <w:rPr>
          <w:rFonts w:hint="eastAsia"/>
        </w:rPr>
        <w:t>造价咨询机构应全过程参与设计前期工作，为方案设计比选等提供造价咨询服务，依据最终确认的施工图出具工程量清单和预算编制报告。</w:t>
      </w:r>
    </w:p>
    <w:p>
      <w:pPr>
        <w:pStyle w:val="169"/>
      </w:pPr>
      <w:r>
        <w:rPr>
          <w:rFonts w:hint="eastAsia"/>
        </w:rPr>
        <w:t>机关事务管理部门应组织对设计和预算成果的会审，以确保质量和控制成本。会审结合项目实际可分三轮进行：</w:t>
      </w:r>
    </w:p>
    <w:p>
      <w:pPr>
        <w:pStyle w:val="178"/>
        <w:numPr>
          <w:ilvl w:val="0"/>
          <w:numId w:val="45"/>
        </w:numPr>
      </w:pPr>
      <w:r>
        <w:rPr>
          <w:rFonts w:hint="eastAsia"/>
        </w:rPr>
        <w:t>第一轮会审在设计根据现场查勘及需求了解后出具方案设计后进行，由机关事务管理部门组织相关人员对方案进行技术经济对比论证，初步确定方案。不需要进行方案设计的项目可直接进入初步设计会审，对建筑、结构、暖通、给排水、电气等专业初步设计方案进行会审；</w:t>
      </w:r>
    </w:p>
    <w:p>
      <w:pPr>
        <w:pStyle w:val="178"/>
        <w:numPr>
          <w:ilvl w:val="0"/>
          <w:numId w:val="45"/>
        </w:numPr>
      </w:pPr>
      <w:r>
        <w:rPr>
          <w:rFonts w:hint="eastAsia"/>
        </w:rPr>
        <w:t>第二轮会审在预算初步编制完成后进行，由机关事务管理部门组织设计和预算单位人员对施工图和预算的详细会审；</w:t>
      </w:r>
    </w:p>
    <w:p>
      <w:pPr>
        <w:pStyle w:val="178"/>
        <w:numPr>
          <w:ilvl w:val="0"/>
          <w:numId w:val="45"/>
        </w:numPr>
      </w:pPr>
      <w:r>
        <w:rPr>
          <w:rFonts w:hint="eastAsia"/>
        </w:rPr>
        <w:t>第三轮会审由机关事务管理部门组织，并邀请使用单位负责人参加并听取意见，进一步校核施工图和预算纰漏，确认最终版施工图和预算。</w:t>
      </w:r>
    </w:p>
    <w:p>
      <w:pPr>
        <w:pStyle w:val="169"/>
      </w:pPr>
      <w:r>
        <w:rPr>
          <w:rFonts w:hint="eastAsia"/>
        </w:rPr>
        <w:t>造价控制：造价咨询机构应依据确认的施工图完成工程量清单和预算编制。</w:t>
      </w:r>
    </w:p>
    <w:p>
      <w:pPr>
        <w:pStyle w:val="169"/>
        <w:numPr>
          <w:ilvl w:val="0"/>
          <w:numId w:val="46"/>
        </w:numPr>
      </w:pPr>
      <w:r>
        <w:t>现场踏勘对接。配合机关事务管理部门开展项目现场勘查，核实建筑现状、维修范围、施工条件及配套设施情况，</w:t>
      </w:r>
      <w:r>
        <w:rPr>
          <w:rFonts w:hint="eastAsia"/>
        </w:rPr>
        <w:t>对接设计单位</w:t>
      </w:r>
      <w:r>
        <w:t>结合现场实际工况</w:t>
      </w:r>
      <w:r>
        <w:rPr>
          <w:rFonts w:hint="eastAsia"/>
        </w:rPr>
        <w:t>对施工图纸</w:t>
      </w:r>
      <w:r>
        <w:t>开展造价测算，确保造价成果贴合现场实际。</w:t>
      </w:r>
    </w:p>
    <w:p>
      <w:pPr>
        <w:pStyle w:val="169"/>
        <w:numPr>
          <w:ilvl w:val="0"/>
          <w:numId w:val="46"/>
        </w:numPr>
      </w:pPr>
      <w:r>
        <w:t>图纸造价校核。依据审定施工图纸、维修技术标准及管理规范，校核设计内容的完整性、可计量性，对图纸细化不足、做法模糊、标准不明确的内容，及时书面反馈</w:t>
      </w:r>
      <w:r>
        <w:rPr>
          <w:rFonts w:hint="eastAsia"/>
        </w:rPr>
        <w:t>机关事务管理部门</w:t>
      </w:r>
      <w:r>
        <w:t>，并按现行行业规范统一计价标准，杜绝因设计漏洞产生清单错项、漏项。</w:t>
      </w:r>
    </w:p>
    <w:p>
      <w:pPr>
        <w:pStyle w:val="169"/>
        <w:numPr>
          <w:ilvl w:val="0"/>
          <w:numId w:val="46"/>
        </w:numPr>
      </w:pPr>
      <w:r>
        <w:t>清单与预算编制。严格执行计价规范及省直机关维修项目管控标准，精准编制工程量清单、招标控制价及项目预算，做到子目齐全、计量准确、组价合规、依据充分。明确项目包干范围，梳理场地适配、常规施工、工艺适配等通用风险，全部纳入合同包干内容，清晰界定可调价与不可调价范围。</w:t>
      </w:r>
    </w:p>
    <w:p>
      <w:pPr>
        <w:pStyle w:val="169"/>
      </w:pPr>
      <w:r>
        <w:rPr>
          <w:rFonts w:hint="eastAsia"/>
        </w:rPr>
        <w:t>维修项目预算应依规送省财政投资评审中心进行评审，评审结果作为下达项目资金计划的依据。</w:t>
      </w:r>
    </w:p>
    <w:p>
      <w:pPr>
        <w:pStyle w:val="109"/>
        <w:spacing w:before="156" w:after="156"/>
      </w:pPr>
      <w:bookmarkStart w:id="98" w:name="_Toc241610308"/>
      <w:bookmarkStart w:id="99" w:name="_Toc13163"/>
      <w:bookmarkStart w:id="100" w:name="_Toc241609792"/>
      <w:r>
        <w:rPr>
          <w:rFonts w:hint="eastAsia"/>
        </w:rPr>
        <w:t>采购与合同</w:t>
      </w:r>
      <w:bookmarkEnd w:id="98"/>
      <w:bookmarkEnd w:id="99"/>
      <w:bookmarkEnd w:id="100"/>
    </w:p>
    <w:p>
      <w:pPr>
        <w:pStyle w:val="169"/>
      </w:pPr>
      <w:r>
        <w:rPr>
          <w:rFonts w:hint="eastAsia"/>
        </w:rPr>
        <w:t>维修项目的勘察、设计、施工、监理和相关设备材料的采购，应按照政府采购相关法律法规执行。</w:t>
      </w:r>
    </w:p>
    <w:p>
      <w:pPr>
        <w:pStyle w:val="169"/>
      </w:pPr>
      <w:r>
        <w:rPr>
          <w:rFonts w:hint="eastAsia"/>
        </w:rPr>
        <w:t>合同签订应明确下列内容：</w:t>
      </w:r>
    </w:p>
    <w:p>
      <w:pPr>
        <w:pStyle w:val="178"/>
        <w:numPr>
          <w:ilvl w:val="0"/>
          <w:numId w:val="47"/>
        </w:numPr>
      </w:pPr>
      <w:r>
        <w:rPr>
          <w:rFonts w:hint="eastAsia"/>
        </w:rPr>
        <w:t>工程范围、内容和标准；</w:t>
      </w:r>
    </w:p>
    <w:p>
      <w:pPr>
        <w:pStyle w:val="178"/>
        <w:numPr>
          <w:ilvl w:val="0"/>
          <w:numId w:val="47"/>
        </w:numPr>
      </w:pPr>
      <w:r>
        <w:rPr>
          <w:rFonts w:hint="eastAsia"/>
        </w:rPr>
        <w:t>合同价款及调整方式；</w:t>
      </w:r>
    </w:p>
    <w:p>
      <w:pPr>
        <w:pStyle w:val="178"/>
        <w:numPr>
          <w:ilvl w:val="0"/>
          <w:numId w:val="47"/>
        </w:numPr>
      </w:pPr>
      <w:r>
        <w:rPr>
          <w:rFonts w:hint="eastAsia"/>
        </w:rPr>
        <w:t>工期要求；</w:t>
      </w:r>
    </w:p>
    <w:p>
      <w:pPr>
        <w:pStyle w:val="178"/>
        <w:numPr>
          <w:ilvl w:val="0"/>
          <w:numId w:val="47"/>
        </w:numPr>
      </w:pPr>
      <w:r>
        <w:rPr>
          <w:rFonts w:hint="eastAsia"/>
        </w:rPr>
        <w:t>质量标准和验收条件；</w:t>
      </w:r>
    </w:p>
    <w:p>
      <w:pPr>
        <w:pStyle w:val="178"/>
        <w:numPr>
          <w:ilvl w:val="0"/>
          <w:numId w:val="47"/>
        </w:numPr>
      </w:pPr>
      <w:r>
        <w:rPr>
          <w:rFonts w:hint="eastAsia"/>
        </w:rPr>
        <w:t>安全文明施工要求；</w:t>
      </w:r>
    </w:p>
    <w:p>
      <w:pPr>
        <w:pStyle w:val="178"/>
        <w:numPr>
          <w:ilvl w:val="0"/>
          <w:numId w:val="47"/>
        </w:numPr>
      </w:pPr>
      <w:r>
        <w:rPr>
          <w:rFonts w:hint="eastAsia"/>
        </w:rPr>
        <w:t>工程款结算及支付方式；</w:t>
      </w:r>
    </w:p>
    <w:p>
      <w:pPr>
        <w:pStyle w:val="178"/>
        <w:numPr>
          <w:ilvl w:val="0"/>
          <w:numId w:val="47"/>
        </w:numPr>
      </w:pPr>
      <w:r>
        <w:rPr>
          <w:rFonts w:hint="eastAsia"/>
        </w:rPr>
        <w:t>质量保修期限和责任；</w:t>
      </w:r>
    </w:p>
    <w:p>
      <w:pPr>
        <w:pStyle w:val="178"/>
        <w:numPr>
          <w:ilvl w:val="0"/>
          <w:numId w:val="47"/>
        </w:numPr>
      </w:pPr>
      <w:r>
        <w:rPr>
          <w:rFonts w:hint="eastAsia"/>
        </w:rPr>
        <w:t>违约责任。</w:t>
      </w:r>
    </w:p>
    <w:p>
      <w:pPr>
        <w:pStyle w:val="109"/>
        <w:spacing w:before="156" w:after="156"/>
      </w:pPr>
      <w:bookmarkStart w:id="101" w:name="_Toc241609793"/>
      <w:bookmarkStart w:id="102" w:name="_Toc241610309"/>
      <w:bookmarkStart w:id="103" w:name="_Toc12317"/>
      <w:r>
        <w:rPr>
          <w:rFonts w:hint="eastAsia"/>
        </w:rPr>
        <w:t>施工管理</w:t>
      </w:r>
      <w:bookmarkEnd w:id="101"/>
      <w:bookmarkEnd w:id="102"/>
      <w:bookmarkEnd w:id="103"/>
    </w:p>
    <w:p>
      <w:pPr>
        <w:pStyle w:val="169"/>
      </w:pPr>
      <w:r>
        <w:rPr>
          <w:rFonts w:hint="eastAsia"/>
        </w:rPr>
        <w:t>参与项目维修管理的机关事务管理部门（项目实施单位）、使用单位、项目管理单位、项目监理单位和项目施工单位五方责任主体应严格遵守国家建筑法律法规，切实履行自身职责，加强维修项目质量、进度、安全和成本管理。</w:t>
      </w:r>
    </w:p>
    <w:p>
      <w:pPr>
        <w:pStyle w:val="169"/>
      </w:pPr>
      <w:r>
        <w:rPr>
          <w:rFonts w:hint="eastAsia"/>
        </w:rPr>
        <w:t>机关事务管理部门应做好以下工作：</w:t>
      </w:r>
    </w:p>
    <w:p>
      <w:pPr>
        <w:pStyle w:val="169"/>
        <w:numPr>
          <w:ilvl w:val="0"/>
          <w:numId w:val="48"/>
        </w:numPr>
        <w:ind w:left="420"/>
      </w:pPr>
      <w:r>
        <w:rPr>
          <w:rFonts w:hint="eastAsia"/>
        </w:rPr>
        <w:t>定期组织召开现场监理例会，检查工程进度、质量和安全情况；</w:t>
      </w:r>
    </w:p>
    <w:p>
      <w:pPr>
        <w:pStyle w:val="169"/>
        <w:numPr>
          <w:ilvl w:val="0"/>
          <w:numId w:val="48"/>
        </w:numPr>
        <w:ind w:left="420"/>
      </w:pPr>
      <w:r>
        <w:rPr>
          <w:rFonts w:hint="eastAsia"/>
        </w:rPr>
        <w:t>组织五方责任主体召开图纸会审和设计交底会议并留存纪要；</w:t>
      </w:r>
    </w:p>
    <w:p>
      <w:pPr>
        <w:pStyle w:val="169"/>
        <w:numPr>
          <w:ilvl w:val="0"/>
          <w:numId w:val="48"/>
        </w:numPr>
        <w:ind w:left="420"/>
      </w:pPr>
      <w:r>
        <w:rPr>
          <w:rFonts w:hint="eastAsia"/>
        </w:rPr>
        <w:t>组织各方责任主体进一步查勘现场，现场审核项目实施单位施工组织设计并会签；</w:t>
      </w:r>
    </w:p>
    <w:p>
      <w:pPr>
        <w:pStyle w:val="169"/>
        <w:numPr>
          <w:ilvl w:val="0"/>
          <w:numId w:val="48"/>
        </w:numPr>
        <w:ind w:left="420"/>
      </w:pPr>
      <w:r>
        <w:rPr>
          <w:rFonts w:hint="eastAsia"/>
        </w:rPr>
        <w:t>定期组织各方责任主体召开现场监理例会并纪要，分析检查工程合同执行情况、商议并解决施工问题以及协调各方关系等。</w:t>
      </w:r>
    </w:p>
    <w:p>
      <w:pPr>
        <w:pStyle w:val="169"/>
      </w:pPr>
      <w:r>
        <w:rPr>
          <w:rFonts w:hint="eastAsia"/>
        </w:rPr>
        <w:t>项目施工单位应按照施工图和工程量清单组织施工，加强工程建设内容、质量、工期和安全文明施工等方面的管理。项目开工前，机关事务管理部门应核验项目管理单位和项目监理单位人员到位情况，项目施工单位中标通知书发放和合同签订情况，项目施工单位人员到位和施工管理体系建立情况。</w:t>
      </w:r>
    </w:p>
    <w:p>
      <w:pPr>
        <w:pStyle w:val="169"/>
      </w:pPr>
      <w:r>
        <w:rPr>
          <w:rFonts w:hint="eastAsia"/>
        </w:rPr>
        <w:t>使用单位应提供房屋原有建设图纸及历次维修改造图纸等资料，施工现场及毗邻区域内供水、排水、供电、供气、供热、通信、广播电视等地下管线资料，气象和水文观测资料，相邻建筑物和构筑物、地下工程的有关资料，并保证资料的真实、准确、完整；应交代水电暖通接驳位置和施工注意事项，将维修施工现场移交项目施工单位；应提供管理人员办公室、施工材料堆放场地和仓库等必要支持。</w:t>
      </w:r>
    </w:p>
    <w:p>
      <w:pPr>
        <w:pStyle w:val="169"/>
      </w:pPr>
      <w:r>
        <w:rPr>
          <w:rFonts w:hint="eastAsia"/>
          <w:szCs w:val="24"/>
        </w:rPr>
        <w:t>项目施工单位进场前</w:t>
      </w:r>
      <w:r>
        <w:rPr>
          <w:rFonts w:hint="eastAsia"/>
        </w:rPr>
        <w:t>应做好下列工作：</w:t>
      </w:r>
    </w:p>
    <w:p>
      <w:pPr>
        <w:pStyle w:val="178"/>
        <w:numPr>
          <w:ilvl w:val="0"/>
          <w:numId w:val="49"/>
        </w:numPr>
      </w:pPr>
      <w:r>
        <w:rPr>
          <w:rFonts w:hint="eastAsia"/>
        </w:rPr>
        <w:t>落实施工作业的临时用水、用电接驳点；</w:t>
      </w:r>
    </w:p>
    <w:p>
      <w:pPr>
        <w:pStyle w:val="178"/>
        <w:numPr>
          <w:ilvl w:val="0"/>
          <w:numId w:val="49"/>
        </w:numPr>
      </w:pPr>
      <w:r>
        <w:rPr>
          <w:rFonts w:hint="eastAsia"/>
        </w:rPr>
        <w:t>确定材料堆场、仓库和临时设施位置；</w:t>
      </w:r>
    </w:p>
    <w:p>
      <w:pPr>
        <w:pStyle w:val="178"/>
        <w:numPr>
          <w:ilvl w:val="0"/>
          <w:numId w:val="49"/>
        </w:numPr>
      </w:pPr>
      <w:r>
        <w:rPr>
          <w:rFonts w:hint="eastAsia"/>
        </w:rPr>
        <w:t>做好施工围档和安全防护措施；</w:t>
      </w:r>
    </w:p>
    <w:p>
      <w:pPr>
        <w:pStyle w:val="178"/>
        <w:numPr>
          <w:ilvl w:val="0"/>
          <w:numId w:val="49"/>
        </w:numPr>
      </w:pPr>
      <w:r>
        <w:rPr>
          <w:rFonts w:hint="eastAsia"/>
        </w:rPr>
        <w:t>悬挂施工公告、工程概况牌、安全生产牌、文明施工牌和温馨提示等标识标牌。</w:t>
      </w:r>
    </w:p>
    <w:p>
      <w:pPr>
        <w:pStyle w:val="169"/>
      </w:pPr>
      <w:r>
        <w:rPr>
          <w:rFonts w:hint="eastAsia"/>
        </w:rPr>
        <w:t>质量控制应符合下列要求：</w:t>
      </w:r>
    </w:p>
    <w:p>
      <w:pPr>
        <w:pStyle w:val="178"/>
        <w:numPr>
          <w:ilvl w:val="0"/>
          <w:numId w:val="50"/>
        </w:numPr>
      </w:pPr>
      <w:r>
        <w:rPr>
          <w:rFonts w:hint="eastAsia"/>
        </w:rPr>
        <w:t>按施工图、规范规程进行施工；</w:t>
      </w:r>
    </w:p>
    <w:p>
      <w:pPr>
        <w:pStyle w:val="178"/>
        <w:numPr>
          <w:ilvl w:val="0"/>
          <w:numId w:val="50"/>
        </w:numPr>
      </w:pPr>
      <w:r>
        <w:rPr>
          <w:rFonts w:hint="eastAsia"/>
        </w:rPr>
        <w:t>对施工材料质量、施工工艺质量进行检查和验收；</w:t>
      </w:r>
    </w:p>
    <w:p>
      <w:pPr>
        <w:pStyle w:val="178"/>
        <w:numPr>
          <w:ilvl w:val="0"/>
          <w:numId w:val="50"/>
        </w:numPr>
      </w:pPr>
      <w:r>
        <w:rPr>
          <w:rFonts w:hint="eastAsia"/>
        </w:rPr>
        <w:t>所采用的材料除物理性能符合规定外，还应符合环保和卫生安全要求。</w:t>
      </w:r>
    </w:p>
    <w:p>
      <w:pPr>
        <w:pStyle w:val="169"/>
      </w:pPr>
      <w:r>
        <w:rPr>
          <w:rFonts w:hint="eastAsia"/>
        </w:rPr>
        <w:t>进度控制应符合下列要求：</w:t>
      </w:r>
    </w:p>
    <w:p>
      <w:pPr>
        <w:pStyle w:val="178"/>
        <w:numPr>
          <w:ilvl w:val="0"/>
          <w:numId w:val="51"/>
        </w:numPr>
      </w:pPr>
      <w:r>
        <w:rPr>
          <w:rFonts w:hint="eastAsia"/>
        </w:rPr>
        <w:t>项目施工单位开工前应编制施工组织设计及分阶段进度计划，报项目监理单位、项目管理单位和机关事务管理部门审批，发生变更及时调整进度方案。</w:t>
      </w:r>
    </w:p>
    <w:p>
      <w:pPr>
        <w:pStyle w:val="178"/>
        <w:numPr>
          <w:ilvl w:val="0"/>
          <w:numId w:val="51"/>
        </w:numPr>
      </w:pPr>
      <w:r>
        <w:rPr>
          <w:rFonts w:hint="eastAsia"/>
        </w:rPr>
        <w:t>定期召开监理和项目管理例会，对照计划核查施工进度，梳理滞后问题并落实纠偏措施，形成会议记录。</w:t>
      </w:r>
    </w:p>
    <w:p>
      <w:pPr>
        <w:pStyle w:val="178"/>
        <w:numPr>
          <w:ilvl w:val="0"/>
          <w:numId w:val="51"/>
        </w:numPr>
      </w:pPr>
      <w:r>
        <w:rPr>
          <w:rFonts w:hint="eastAsia"/>
        </w:rPr>
        <w:t>动态跟踪工期执行，认真做好施工记录，对照进度计划核实进度，出现工期偏差及时制定赶工方案并闭环管控。</w:t>
      </w:r>
    </w:p>
    <w:p>
      <w:pPr>
        <w:pStyle w:val="169"/>
      </w:pPr>
      <w:r>
        <w:rPr>
          <w:rFonts w:hint="eastAsia"/>
        </w:rPr>
        <w:t>安全控制应符合下列要求：</w:t>
      </w:r>
    </w:p>
    <w:p>
      <w:pPr>
        <w:pStyle w:val="178"/>
        <w:numPr>
          <w:ilvl w:val="0"/>
          <w:numId w:val="52"/>
        </w:numPr>
        <w:tabs>
          <w:tab w:val="clear" w:pos="312"/>
        </w:tabs>
      </w:pPr>
      <w:r>
        <w:rPr>
          <w:rFonts w:hint="eastAsia"/>
        </w:rPr>
        <w:t>建立分级安全生产责任制，逐级分解安全职责，签订安全责任文书。</w:t>
      </w:r>
    </w:p>
    <w:p>
      <w:pPr>
        <w:pStyle w:val="178"/>
        <w:numPr>
          <w:ilvl w:val="0"/>
          <w:numId w:val="52"/>
        </w:numPr>
        <w:tabs>
          <w:tab w:val="clear" w:pos="312"/>
        </w:tabs>
      </w:pPr>
      <w:r>
        <w:rPr>
          <w:rFonts w:hint="eastAsia"/>
        </w:rPr>
        <w:t>常态化开展安全文明施工宣教、岗前及专项安全培训与技术交底工作，并留存教育台账。</w:t>
      </w:r>
    </w:p>
    <w:p>
      <w:pPr>
        <w:pStyle w:val="178"/>
        <w:numPr>
          <w:ilvl w:val="0"/>
          <w:numId w:val="52"/>
        </w:numPr>
        <w:tabs>
          <w:tab w:val="clear" w:pos="312"/>
        </w:tabs>
      </w:pPr>
      <w:r>
        <w:rPr>
          <w:rFonts w:hint="eastAsia"/>
        </w:rPr>
        <w:t>定期开展安全生产巡查、综合检查，安全隐患实行台账登记、限期整改、复查销号管理。</w:t>
      </w:r>
    </w:p>
    <w:p>
      <w:pPr>
        <w:pStyle w:val="178"/>
        <w:numPr>
          <w:ilvl w:val="0"/>
          <w:numId w:val="52"/>
        </w:numPr>
        <w:tabs>
          <w:tab w:val="clear" w:pos="312"/>
        </w:tabs>
      </w:pPr>
      <w:r>
        <w:rPr>
          <w:rFonts w:hint="eastAsia"/>
        </w:rPr>
        <w:t>落实深基坑、动火、临电、高处作业等重大危险源专项安全管控，配齐防护设施，编制应急处置预案。</w:t>
      </w:r>
    </w:p>
    <w:p>
      <w:pPr>
        <w:pStyle w:val="109"/>
        <w:spacing w:before="156" w:after="156"/>
      </w:pPr>
      <w:bookmarkStart w:id="104" w:name="_Toc241610310"/>
      <w:bookmarkStart w:id="105" w:name="_Toc16700"/>
      <w:bookmarkStart w:id="106" w:name="_Toc241609794"/>
      <w:r>
        <w:rPr>
          <w:rFonts w:hint="eastAsia"/>
        </w:rPr>
        <w:t>变更与签证</w:t>
      </w:r>
      <w:bookmarkEnd w:id="104"/>
      <w:bookmarkEnd w:id="105"/>
      <w:bookmarkEnd w:id="106"/>
    </w:p>
    <w:p>
      <w:pPr>
        <w:pStyle w:val="169"/>
      </w:pPr>
      <w:r>
        <w:rPr>
          <w:rFonts w:hint="eastAsia"/>
        </w:rPr>
        <w:t>施工过程中发生变更时，应按下列程序办理：</w:t>
      </w:r>
    </w:p>
    <w:p>
      <w:pPr>
        <w:pStyle w:val="178"/>
        <w:numPr>
          <w:ilvl w:val="0"/>
          <w:numId w:val="53"/>
        </w:numPr>
      </w:pPr>
      <w:r>
        <w:rPr>
          <w:rFonts w:hint="eastAsia"/>
        </w:rPr>
        <w:t>提交变更内容及申请的联系单（函），说明变更原因、内容和意见；</w:t>
      </w:r>
    </w:p>
    <w:p>
      <w:pPr>
        <w:pStyle w:val="178"/>
        <w:numPr>
          <w:ilvl w:val="0"/>
          <w:numId w:val="53"/>
        </w:numPr>
      </w:pPr>
      <w:r>
        <w:rPr>
          <w:rFonts w:hint="eastAsia"/>
        </w:rPr>
        <w:t>各方现场查勘，确定变更方案；</w:t>
      </w:r>
    </w:p>
    <w:p>
      <w:pPr>
        <w:pStyle w:val="178"/>
        <w:numPr>
          <w:ilvl w:val="0"/>
          <w:numId w:val="53"/>
        </w:numPr>
      </w:pPr>
      <w:r>
        <w:rPr>
          <w:rFonts w:hint="eastAsia"/>
        </w:rPr>
        <w:t>填写变更报审资料，说明变更范围、内容、工程量及估算造价；</w:t>
      </w:r>
    </w:p>
    <w:p>
      <w:pPr>
        <w:pStyle w:val="178"/>
        <w:numPr>
          <w:ilvl w:val="0"/>
          <w:numId w:val="53"/>
        </w:numPr>
      </w:pPr>
      <w:r>
        <w:rPr>
          <w:rFonts w:hint="eastAsia"/>
        </w:rPr>
        <w:t>按审批权限进行审批；</w:t>
      </w:r>
    </w:p>
    <w:p>
      <w:pPr>
        <w:pStyle w:val="178"/>
        <w:numPr>
          <w:ilvl w:val="0"/>
          <w:numId w:val="53"/>
        </w:numPr>
      </w:pPr>
      <w:r>
        <w:rPr>
          <w:rFonts w:hint="eastAsia"/>
        </w:rPr>
        <w:t>施工完毕后进行验收，办理草签手续；</w:t>
      </w:r>
    </w:p>
    <w:p>
      <w:pPr>
        <w:pStyle w:val="178"/>
        <w:numPr>
          <w:ilvl w:val="0"/>
          <w:numId w:val="53"/>
        </w:numPr>
      </w:pPr>
      <w:r>
        <w:rPr>
          <w:rFonts w:hint="eastAsia"/>
        </w:rPr>
        <w:t>施工验收前整理所有变更办理正式签证手续。</w:t>
      </w:r>
    </w:p>
    <w:p>
      <w:pPr>
        <w:pStyle w:val="109"/>
        <w:spacing w:before="156" w:after="156"/>
      </w:pPr>
      <w:bookmarkStart w:id="107" w:name="_Toc241609795"/>
      <w:bookmarkStart w:id="108" w:name="_Toc7151"/>
      <w:bookmarkStart w:id="109" w:name="_Toc241610311"/>
      <w:r>
        <w:rPr>
          <w:rFonts w:hint="eastAsia"/>
        </w:rPr>
        <w:t>资金管理</w:t>
      </w:r>
      <w:bookmarkEnd w:id="107"/>
      <w:bookmarkEnd w:id="108"/>
      <w:bookmarkEnd w:id="109"/>
    </w:p>
    <w:p>
      <w:pPr>
        <w:pStyle w:val="169"/>
      </w:pPr>
      <w:r>
        <w:rPr>
          <w:rFonts w:hint="eastAsia"/>
        </w:rPr>
        <w:t>维修项目资金应符合财政资金支付管理的有关规定，依据维修合同约定支付工程款。</w:t>
      </w:r>
    </w:p>
    <w:p>
      <w:pPr>
        <w:pStyle w:val="169"/>
      </w:pPr>
      <w:r>
        <w:rPr>
          <w:rFonts w:hint="eastAsia"/>
        </w:rPr>
        <w:t>工程款支付应按下列程序进行：</w:t>
      </w:r>
    </w:p>
    <w:p>
      <w:pPr>
        <w:pStyle w:val="178"/>
        <w:numPr>
          <w:ilvl w:val="0"/>
          <w:numId w:val="54"/>
        </w:numPr>
      </w:pPr>
      <w:r>
        <w:rPr>
          <w:rFonts w:hint="eastAsia"/>
        </w:rPr>
        <w:t>项目施工单位提交工程款支付申请及相关证明文件；</w:t>
      </w:r>
    </w:p>
    <w:p>
      <w:pPr>
        <w:pStyle w:val="178"/>
        <w:numPr>
          <w:ilvl w:val="0"/>
          <w:numId w:val="54"/>
        </w:numPr>
      </w:pPr>
      <w:r>
        <w:rPr>
          <w:rFonts w:hint="eastAsia"/>
        </w:rPr>
        <w:t>项目监理单位审核；</w:t>
      </w:r>
    </w:p>
    <w:p>
      <w:pPr>
        <w:pStyle w:val="178"/>
        <w:numPr>
          <w:ilvl w:val="0"/>
          <w:numId w:val="54"/>
        </w:numPr>
      </w:pPr>
      <w:r>
        <w:rPr>
          <w:rFonts w:hint="eastAsia"/>
        </w:rPr>
        <w:t>项目管理单位核实；</w:t>
      </w:r>
    </w:p>
    <w:p>
      <w:pPr>
        <w:pStyle w:val="178"/>
        <w:numPr>
          <w:ilvl w:val="0"/>
          <w:numId w:val="54"/>
        </w:numPr>
      </w:pPr>
      <w:r>
        <w:rPr>
          <w:rFonts w:hint="eastAsia"/>
        </w:rPr>
        <w:t>项目实施单位审批；</w:t>
      </w:r>
    </w:p>
    <w:p>
      <w:pPr>
        <w:pStyle w:val="178"/>
        <w:numPr>
          <w:ilvl w:val="0"/>
          <w:numId w:val="54"/>
        </w:numPr>
      </w:pPr>
      <w:r>
        <w:rPr>
          <w:rFonts w:hint="eastAsia"/>
        </w:rPr>
        <w:t>财务部门支付。</w:t>
      </w:r>
    </w:p>
    <w:p>
      <w:pPr>
        <w:pStyle w:val="169"/>
      </w:pPr>
      <w:r>
        <w:rPr>
          <w:rFonts w:hint="eastAsia"/>
        </w:rPr>
        <w:t>维修项目竣工结算应委托有资质的造价咨询机构进行审核，并经项目施工单位确认。</w:t>
      </w:r>
    </w:p>
    <w:p>
      <w:pPr>
        <w:pStyle w:val="108"/>
        <w:spacing w:before="312" w:after="312"/>
      </w:pPr>
      <w:bookmarkStart w:id="110" w:name="_Toc13971"/>
      <w:bookmarkStart w:id="111" w:name="_Toc241610312"/>
      <w:bookmarkStart w:id="112" w:name="_Toc241609796"/>
      <w:r>
        <w:rPr>
          <w:rFonts w:hint="eastAsia"/>
        </w:rPr>
        <w:t>质量验收</w:t>
      </w:r>
      <w:bookmarkEnd w:id="110"/>
      <w:bookmarkEnd w:id="111"/>
      <w:bookmarkEnd w:id="112"/>
    </w:p>
    <w:p>
      <w:pPr>
        <w:pStyle w:val="109"/>
        <w:spacing w:before="156" w:after="156"/>
      </w:pPr>
      <w:bookmarkStart w:id="113" w:name="_Toc241610313"/>
      <w:bookmarkStart w:id="114" w:name="_Toc10140"/>
      <w:bookmarkStart w:id="115" w:name="_Toc241609797"/>
      <w:r>
        <w:rPr>
          <w:rFonts w:hint="eastAsia"/>
        </w:rPr>
        <w:t>验收条件</w:t>
      </w:r>
      <w:bookmarkEnd w:id="113"/>
      <w:bookmarkEnd w:id="114"/>
      <w:bookmarkEnd w:id="115"/>
    </w:p>
    <w:p>
      <w:pPr>
        <w:pStyle w:val="169"/>
      </w:pPr>
      <w:r>
        <w:rPr>
          <w:rFonts w:hint="eastAsia"/>
        </w:rPr>
        <w:t>维修项目完工后，应进行竣工验收。竣工验收应具备下列条件：</w:t>
      </w:r>
    </w:p>
    <w:p>
      <w:pPr>
        <w:pStyle w:val="178"/>
        <w:numPr>
          <w:ilvl w:val="0"/>
          <w:numId w:val="55"/>
        </w:numPr>
      </w:pPr>
      <w:r>
        <w:rPr>
          <w:rFonts w:hint="eastAsia"/>
        </w:rPr>
        <w:t>完成维修合同约定的各项内容；</w:t>
      </w:r>
    </w:p>
    <w:p>
      <w:pPr>
        <w:pStyle w:val="178"/>
        <w:numPr>
          <w:ilvl w:val="0"/>
          <w:numId w:val="55"/>
        </w:numPr>
      </w:pPr>
      <w:r>
        <w:rPr>
          <w:rFonts w:hint="eastAsia"/>
        </w:rPr>
        <w:t>项目施工单位自检合格，第三方检验检测合格；</w:t>
      </w:r>
    </w:p>
    <w:p>
      <w:pPr>
        <w:pStyle w:val="178"/>
        <w:numPr>
          <w:ilvl w:val="0"/>
          <w:numId w:val="55"/>
        </w:numPr>
      </w:pPr>
      <w:r>
        <w:rPr>
          <w:rFonts w:hint="eastAsia"/>
        </w:rPr>
        <w:t>监理资料完整；</w:t>
      </w:r>
    </w:p>
    <w:p>
      <w:pPr>
        <w:pStyle w:val="178"/>
        <w:numPr>
          <w:ilvl w:val="0"/>
          <w:numId w:val="55"/>
        </w:numPr>
      </w:pPr>
      <w:r>
        <w:rPr>
          <w:rFonts w:hint="eastAsia"/>
        </w:rPr>
        <w:t>主要功能项目的抽查结果符合相关专业质量验收规范的规定；</w:t>
      </w:r>
    </w:p>
    <w:p>
      <w:pPr>
        <w:pStyle w:val="178"/>
        <w:numPr>
          <w:ilvl w:val="0"/>
          <w:numId w:val="55"/>
        </w:numPr>
      </w:pPr>
      <w:r>
        <w:rPr>
          <w:rFonts w:hint="eastAsia"/>
        </w:rPr>
        <w:t>观感质量符合要求。</w:t>
      </w:r>
    </w:p>
    <w:p>
      <w:pPr>
        <w:pStyle w:val="109"/>
        <w:spacing w:before="156" w:after="156"/>
      </w:pPr>
      <w:bookmarkStart w:id="116" w:name="_Toc241610314"/>
      <w:bookmarkStart w:id="117" w:name="_Toc3603"/>
      <w:bookmarkStart w:id="118" w:name="_Toc241609798"/>
      <w:r>
        <w:rPr>
          <w:rFonts w:hint="eastAsia"/>
        </w:rPr>
        <w:t>验收程序</w:t>
      </w:r>
      <w:bookmarkEnd w:id="116"/>
      <w:bookmarkEnd w:id="117"/>
      <w:bookmarkEnd w:id="118"/>
    </w:p>
    <w:p>
      <w:pPr>
        <w:pStyle w:val="169"/>
      </w:pPr>
      <w:r>
        <w:rPr>
          <w:rFonts w:hint="eastAsia"/>
        </w:rPr>
        <w:t>维修工程完工后，应由项目施工单位进行自查自检，进行工程竣工预验收。</w:t>
      </w:r>
    </w:p>
    <w:p>
      <w:pPr>
        <w:pStyle w:val="169"/>
      </w:pPr>
      <w:r>
        <w:rPr>
          <w:rFonts w:hint="eastAsia"/>
        </w:rPr>
        <w:t>预验收合格后，应提交竣工验收报告和竣工资料。</w:t>
      </w:r>
    </w:p>
    <w:p>
      <w:pPr>
        <w:pStyle w:val="169"/>
      </w:pPr>
      <w:r>
        <w:rPr>
          <w:rFonts w:hint="eastAsia"/>
        </w:rPr>
        <w:t>机关事务管理部门应组织使用单位、设计单位、项目管理单位、项目监理单位、项目施工单位进行现场验收。</w:t>
      </w:r>
    </w:p>
    <w:p>
      <w:pPr>
        <w:pStyle w:val="169"/>
      </w:pPr>
      <w:r>
        <w:rPr>
          <w:rFonts w:hint="eastAsia"/>
        </w:rPr>
        <w:t>竣工验收合格后，项目施工单位应按合同约定提供保修服务。质量保修期自工程竣工验收合格之日起计算。</w:t>
      </w:r>
    </w:p>
    <w:p>
      <w:pPr>
        <w:pStyle w:val="169"/>
      </w:pPr>
      <w:r>
        <w:rPr>
          <w:rFonts w:hint="eastAsia"/>
        </w:rPr>
        <w:t>各分部分项工程保修期限应符合下列规定：</w:t>
      </w:r>
    </w:p>
    <w:p>
      <w:pPr>
        <w:pStyle w:val="178"/>
        <w:numPr>
          <w:ilvl w:val="0"/>
          <w:numId w:val="56"/>
        </w:numPr>
      </w:pPr>
      <w:r>
        <w:rPr>
          <w:rFonts w:hint="eastAsia"/>
        </w:rPr>
        <w:t>地基基础工程、主体结构工程：设计文件规定的使用年限；</w:t>
      </w:r>
    </w:p>
    <w:p>
      <w:pPr>
        <w:pStyle w:val="178"/>
        <w:numPr>
          <w:ilvl w:val="0"/>
          <w:numId w:val="56"/>
        </w:numPr>
      </w:pPr>
      <w:r>
        <w:rPr>
          <w:rFonts w:hint="eastAsia"/>
        </w:rPr>
        <w:t>屋面、地下室、卫生间防水，内、外墙面的防渗：5年；</w:t>
      </w:r>
    </w:p>
    <w:p>
      <w:pPr>
        <w:pStyle w:val="178"/>
        <w:numPr>
          <w:ilvl w:val="0"/>
          <w:numId w:val="56"/>
        </w:numPr>
      </w:pPr>
      <w:r>
        <w:rPr>
          <w:rFonts w:hint="eastAsia"/>
        </w:rPr>
        <w:t>装修工程：2年；</w:t>
      </w:r>
    </w:p>
    <w:p>
      <w:pPr>
        <w:pStyle w:val="178"/>
        <w:numPr>
          <w:ilvl w:val="0"/>
          <w:numId w:val="56"/>
        </w:numPr>
      </w:pPr>
      <w:r>
        <w:rPr>
          <w:rFonts w:hint="eastAsia"/>
        </w:rPr>
        <w:t>电气管线、给排水管道、设备安装工程：2年；</w:t>
      </w:r>
    </w:p>
    <w:p>
      <w:pPr>
        <w:pStyle w:val="178"/>
        <w:numPr>
          <w:ilvl w:val="0"/>
          <w:numId w:val="56"/>
        </w:numPr>
      </w:pPr>
      <w:r>
        <w:rPr>
          <w:rFonts w:hint="eastAsia"/>
        </w:rPr>
        <w:t>供热与供冷系统：2个采暖（供冷）期。</w:t>
      </w:r>
    </w:p>
    <w:p>
      <w:pPr>
        <w:pStyle w:val="109"/>
        <w:spacing w:before="156" w:after="156"/>
      </w:pPr>
      <w:bookmarkStart w:id="119" w:name="_Toc30887"/>
      <w:bookmarkStart w:id="120" w:name="_Toc241609799"/>
      <w:bookmarkStart w:id="121" w:name="_Toc241610315"/>
      <w:r>
        <w:rPr>
          <w:rFonts w:hint="eastAsia"/>
        </w:rPr>
        <w:t>验收标准</w:t>
      </w:r>
      <w:bookmarkEnd w:id="119"/>
      <w:bookmarkEnd w:id="120"/>
      <w:bookmarkEnd w:id="121"/>
    </w:p>
    <w:p>
      <w:pPr>
        <w:pStyle w:val="169"/>
      </w:pPr>
      <w:r>
        <w:rPr>
          <w:rFonts w:hint="eastAsia"/>
        </w:rPr>
        <w:t>维修工程质量验收应执行GB 50300及国家现行相关专业验收规范的规定。</w:t>
      </w:r>
    </w:p>
    <w:p>
      <w:pPr>
        <w:pStyle w:val="169"/>
      </w:pPr>
      <w:r>
        <w:rPr>
          <w:rFonts w:hint="eastAsia"/>
        </w:rPr>
        <w:t>竣工验收资料应包括下列内容：</w:t>
      </w:r>
    </w:p>
    <w:p>
      <w:pPr>
        <w:pStyle w:val="178"/>
        <w:numPr>
          <w:ilvl w:val="0"/>
          <w:numId w:val="57"/>
        </w:numPr>
      </w:pPr>
      <w:r>
        <w:rPr>
          <w:rFonts w:hint="eastAsia"/>
        </w:rPr>
        <w:t>技术资料；</w:t>
      </w:r>
    </w:p>
    <w:p>
      <w:pPr>
        <w:pStyle w:val="178"/>
        <w:numPr>
          <w:ilvl w:val="0"/>
          <w:numId w:val="57"/>
        </w:numPr>
      </w:pPr>
      <w:r>
        <w:rPr>
          <w:rFonts w:hint="eastAsia"/>
        </w:rPr>
        <w:t>现场变更和签证资料；</w:t>
      </w:r>
    </w:p>
    <w:p>
      <w:pPr>
        <w:pStyle w:val="178"/>
        <w:numPr>
          <w:ilvl w:val="0"/>
          <w:numId w:val="57"/>
        </w:numPr>
      </w:pPr>
      <w:r>
        <w:rPr>
          <w:rFonts w:hint="eastAsia"/>
        </w:rPr>
        <w:t>竣工图；</w:t>
      </w:r>
    </w:p>
    <w:p>
      <w:pPr>
        <w:pStyle w:val="178"/>
        <w:numPr>
          <w:ilvl w:val="0"/>
          <w:numId w:val="57"/>
        </w:numPr>
      </w:pPr>
      <w:r>
        <w:rPr>
          <w:rFonts w:hint="eastAsia"/>
        </w:rPr>
        <w:t>质量验收记录；</w:t>
      </w:r>
    </w:p>
    <w:p>
      <w:pPr>
        <w:pStyle w:val="178"/>
        <w:numPr>
          <w:ilvl w:val="0"/>
          <w:numId w:val="57"/>
        </w:numPr>
      </w:pPr>
      <w:r>
        <w:rPr>
          <w:rFonts w:hint="eastAsia"/>
        </w:rPr>
        <w:t>设备调试记录。</w:t>
      </w:r>
    </w:p>
    <w:p>
      <w:pPr>
        <w:pStyle w:val="108"/>
        <w:spacing w:before="312" w:after="312"/>
      </w:pPr>
      <w:bookmarkStart w:id="122" w:name="_Toc16116"/>
      <w:bookmarkStart w:id="123" w:name="_Toc241609800"/>
      <w:bookmarkStart w:id="124" w:name="_Toc241610316"/>
      <w:r>
        <w:rPr>
          <w:rFonts w:hint="eastAsia"/>
        </w:rPr>
        <w:t>维修技术要求</w:t>
      </w:r>
      <w:bookmarkEnd w:id="122"/>
      <w:bookmarkEnd w:id="123"/>
      <w:bookmarkEnd w:id="124"/>
    </w:p>
    <w:p>
      <w:pPr>
        <w:pStyle w:val="166"/>
      </w:pPr>
      <w:bookmarkStart w:id="125" w:name="_Toc16841"/>
      <w:r>
        <w:rPr>
          <w:rFonts w:hint="eastAsia"/>
        </w:rPr>
        <w:t>承重结构系统</w:t>
      </w:r>
      <w:bookmarkEnd w:id="125"/>
      <w:r>
        <w:rPr>
          <w:rFonts w:hint="eastAsia"/>
        </w:rPr>
        <w:t>的检查、维系与验收建见附录A。</w:t>
      </w:r>
    </w:p>
    <w:p>
      <w:pPr>
        <w:pStyle w:val="166"/>
      </w:pPr>
      <w:bookmarkStart w:id="126" w:name="_Toc4656"/>
      <w:r>
        <w:rPr>
          <w:rFonts w:hint="eastAsia"/>
        </w:rPr>
        <w:t>围护结构系统</w:t>
      </w:r>
      <w:bookmarkEnd w:id="126"/>
      <w:r>
        <w:rPr>
          <w:rFonts w:hint="eastAsia"/>
        </w:rPr>
        <w:t>的检查、维系与验收建见附录B。</w:t>
      </w:r>
    </w:p>
    <w:p>
      <w:pPr>
        <w:pStyle w:val="166"/>
      </w:pPr>
      <w:bookmarkStart w:id="127" w:name="_Toc11140"/>
      <w:r>
        <w:rPr>
          <w:rFonts w:hint="eastAsia"/>
        </w:rPr>
        <w:t>装饰装修系统</w:t>
      </w:r>
      <w:bookmarkEnd w:id="127"/>
      <w:r>
        <w:rPr>
          <w:rFonts w:hint="eastAsia"/>
        </w:rPr>
        <w:t>的检查、维系与验收建见附录C。</w:t>
      </w:r>
    </w:p>
    <w:p>
      <w:pPr>
        <w:pStyle w:val="166"/>
      </w:pPr>
      <w:bookmarkStart w:id="128" w:name="_Toc17243"/>
      <w:r>
        <w:rPr>
          <w:rFonts w:hint="eastAsia"/>
        </w:rPr>
        <w:t>给排水系统</w:t>
      </w:r>
      <w:bookmarkEnd w:id="128"/>
      <w:r>
        <w:rPr>
          <w:rFonts w:hint="eastAsia"/>
        </w:rPr>
        <w:t>的检查、维系与验收建见附录D。</w:t>
      </w:r>
    </w:p>
    <w:p>
      <w:pPr>
        <w:pStyle w:val="166"/>
      </w:pPr>
      <w:bookmarkStart w:id="129" w:name="_Toc1553"/>
      <w:r>
        <w:rPr>
          <w:rFonts w:hint="eastAsia"/>
        </w:rPr>
        <w:t>通风与空调（供暖）系统</w:t>
      </w:r>
      <w:bookmarkEnd w:id="129"/>
      <w:r>
        <w:rPr>
          <w:rFonts w:hint="eastAsia"/>
        </w:rPr>
        <w:t>的检查、维系与验收建见附录E。</w:t>
      </w:r>
    </w:p>
    <w:p>
      <w:pPr>
        <w:pStyle w:val="166"/>
      </w:pPr>
      <w:bookmarkStart w:id="130" w:name="_Toc15918"/>
      <w:r>
        <w:rPr>
          <w:rFonts w:hint="eastAsia"/>
        </w:rPr>
        <w:t>电气系统</w:t>
      </w:r>
      <w:bookmarkEnd w:id="130"/>
      <w:r>
        <w:rPr>
          <w:rFonts w:hint="eastAsia"/>
        </w:rPr>
        <w:t>的检查、维系与验收建见附录F。</w:t>
      </w:r>
    </w:p>
    <w:p>
      <w:pPr>
        <w:pStyle w:val="166"/>
      </w:pPr>
      <w:bookmarkStart w:id="131" w:name="_Toc30794"/>
      <w:r>
        <w:rPr>
          <w:rFonts w:hint="eastAsia"/>
        </w:rPr>
        <w:t>电梯系统</w:t>
      </w:r>
      <w:bookmarkEnd w:id="131"/>
      <w:r>
        <w:rPr>
          <w:rFonts w:hint="eastAsia"/>
        </w:rPr>
        <w:t>的检查、维系与验收建见附录G。</w:t>
      </w:r>
    </w:p>
    <w:p>
      <w:pPr>
        <w:pStyle w:val="166"/>
      </w:pPr>
      <w:bookmarkStart w:id="132" w:name="_Toc14605"/>
      <w:r>
        <w:rPr>
          <w:rFonts w:hint="eastAsia"/>
        </w:rPr>
        <w:t>消防系统</w:t>
      </w:r>
      <w:bookmarkEnd w:id="132"/>
      <w:r>
        <w:rPr>
          <w:rFonts w:hint="eastAsia"/>
        </w:rPr>
        <w:t>的检查、维系与验收建见附录H。</w:t>
      </w:r>
    </w:p>
    <w:p>
      <w:pPr>
        <w:pStyle w:val="166"/>
      </w:pPr>
      <w:bookmarkStart w:id="133" w:name="_Toc9774"/>
      <w:r>
        <w:rPr>
          <w:rFonts w:hint="eastAsia"/>
        </w:rPr>
        <w:t>建筑智能化系统</w:t>
      </w:r>
      <w:bookmarkEnd w:id="133"/>
      <w:r>
        <w:rPr>
          <w:rFonts w:hint="eastAsia"/>
        </w:rPr>
        <w:t>的检查、维系与验收建见附录I。</w:t>
      </w:r>
    </w:p>
    <w:p>
      <w:pPr>
        <w:pStyle w:val="166"/>
      </w:pPr>
      <w:bookmarkStart w:id="134" w:name="_Toc6782"/>
      <w:r>
        <w:rPr>
          <w:rFonts w:hint="eastAsia"/>
        </w:rPr>
        <w:t>建筑节能</w:t>
      </w:r>
      <w:bookmarkEnd w:id="134"/>
      <w:r>
        <w:rPr>
          <w:rFonts w:hint="eastAsia"/>
        </w:rPr>
        <w:t>与可再生能源项目的检查、维系与验收建见附录J。</w:t>
      </w:r>
    </w:p>
    <w:p>
      <w:pPr>
        <w:pStyle w:val="166"/>
      </w:pPr>
      <w:r>
        <w:rPr>
          <w:rFonts w:hint="eastAsia"/>
        </w:rPr>
        <w:t>办公附属设施的检查、维修与验收技术见附录K。</w:t>
      </w:r>
    </w:p>
    <w:p>
      <w:pPr>
        <w:pStyle w:val="108"/>
        <w:spacing w:before="312" w:after="312"/>
      </w:pPr>
      <w:bookmarkStart w:id="135" w:name="_Toc241610317"/>
      <w:bookmarkStart w:id="136" w:name="_Toc31263"/>
      <w:bookmarkStart w:id="137" w:name="_Toc241609801"/>
      <w:r>
        <w:rPr>
          <w:rFonts w:hint="eastAsia"/>
        </w:rPr>
        <w:t>造价控制</w:t>
      </w:r>
      <w:bookmarkEnd w:id="135"/>
      <w:bookmarkEnd w:id="136"/>
      <w:bookmarkEnd w:id="137"/>
    </w:p>
    <w:p>
      <w:pPr>
        <w:pStyle w:val="109"/>
        <w:spacing w:before="156" w:after="156"/>
      </w:pPr>
      <w:bookmarkStart w:id="138" w:name="_Toc32219"/>
      <w:bookmarkStart w:id="139" w:name="_Toc241610318"/>
      <w:bookmarkStart w:id="140" w:name="_Toc241609802"/>
      <w:r>
        <w:rPr>
          <w:rFonts w:hint="eastAsia"/>
        </w:rPr>
        <w:t>造价估算</w:t>
      </w:r>
      <w:bookmarkEnd w:id="138"/>
      <w:bookmarkEnd w:id="139"/>
      <w:bookmarkEnd w:id="140"/>
    </w:p>
    <w:p>
      <w:pPr>
        <w:pStyle w:val="169"/>
      </w:pPr>
      <w:r>
        <w:rPr>
          <w:rFonts w:hint="eastAsia"/>
        </w:rPr>
        <w:t>办公用房维修工程造价估算应遵循简朴庄重、勤俭节约、经济适用的原则，控制工程造价。</w:t>
      </w:r>
    </w:p>
    <w:p>
      <w:pPr>
        <w:pStyle w:val="169"/>
      </w:pPr>
      <w:r>
        <w:rPr>
          <w:rFonts w:hint="eastAsia"/>
        </w:rPr>
        <w:t>维修工程造价估算应包括工程费用、建设工程其他费用、预备费等直接费用，不包括办公用房维修所产生的管理费、设计费、工程监理费、搬迁费、报建费等等间接费用。</w:t>
      </w:r>
    </w:p>
    <w:p>
      <w:pPr>
        <w:pStyle w:val="169"/>
      </w:pPr>
      <w:r>
        <w:rPr>
          <w:rFonts w:hint="eastAsia"/>
        </w:rPr>
        <w:t>办公用房室内综合维修造价应按功能区分类控制，其造价控制标准见附录L表L.1。</w:t>
      </w:r>
    </w:p>
    <w:p>
      <w:pPr>
        <w:pStyle w:val="169"/>
      </w:pPr>
      <w:r>
        <w:rPr>
          <w:rFonts w:hint="eastAsia"/>
        </w:rPr>
        <w:t>办公用房专项维修造价应按维修部位分类控制，其造价控制标准见附录L表L.2。</w:t>
      </w:r>
    </w:p>
    <w:p>
      <w:pPr>
        <w:pStyle w:val="169"/>
      </w:pPr>
      <w:r>
        <w:rPr>
          <w:rFonts w:hint="eastAsia"/>
        </w:rPr>
        <w:t>机关单位租用的办公用房，一般不进行大规模维修。确需维修的，应按租赁期长短确定装修维修标准：</w:t>
      </w:r>
    </w:p>
    <w:p>
      <w:pPr>
        <w:pStyle w:val="178"/>
        <w:numPr>
          <w:ilvl w:val="0"/>
          <w:numId w:val="58"/>
        </w:numPr>
      </w:pPr>
      <w:r>
        <w:rPr>
          <w:rFonts w:hint="eastAsia"/>
        </w:rPr>
        <w:t>租赁期超过8年（含）的，装修维修造价按表L.1的80%执行；</w:t>
      </w:r>
    </w:p>
    <w:p>
      <w:pPr>
        <w:pStyle w:val="178"/>
        <w:numPr>
          <w:ilvl w:val="0"/>
          <w:numId w:val="58"/>
        </w:numPr>
      </w:pPr>
      <w:r>
        <w:rPr>
          <w:rFonts w:hint="eastAsia"/>
        </w:rPr>
        <w:t>租赁期超过5年（含）但不到8年的，装修维修造价按表L.1的60%执行；</w:t>
      </w:r>
    </w:p>
    <w:p>
      <w:pPr>
        <w:pStyle w:val="178"/>
        <w:numPr>
          <w:ilvl w:val="0"/>
          <w:numId w:val="58"/>
        </w:numPr>
      </w:pPr>
      <w:r>
        <w:rPr>
          <w:rFonts w:hint="eastAsia"/>
        </w:rPr>
        <w:t>租赁期不到5年的，原则上只能进行简单装修，维修造价按表L.1的50%执行。</w:t>
      </w:r>
    </w:p>
    <w:p>
      <w:pPr>
        <w:pStyle w:val="109"/>
        <w:spacing w:before="156" w:after="156"/>
      </w:pPr>
      <w:bookmarkStart w:id="141" w:name="_Toc29857"/>
      <w:bookmarkStart w:id="142" w:name="_Toc241610319"/>
      <w:bookmarkStart w:id="143" w:name="_Toc241609803"/>
      <w:r>
        <w:rPr>
          <w:rFonts w:hint="eastAsia"/>
        </w:rPr>
        <w:t>价格调整</w:t>
      </w:r>
      <w:bookmarkEnd w:id="141"/>
      <w:bookmarkEnd w:id="142"/>
      <w:bookmarkEnd w:id="143"/>
    </w:p>
    <w:p>
      <w:pPr>
        <w:pStyle w:val="169"/>
      </w:pPr>
      <w:r>
        <w:rPr>
          <w:rFonts w:hint="eastAsia"/>
        </w:rPr>
        <w:t>维修工程造价标准应根据政策、建设标准、市场材料价格、建设人工费用等变化情况适时调整。</w:t>
      </w:r>
    </w:p>
    <w:p>
      <w:pPr>
        <w:pStyle w:val="169"/>
      </w:pPr>
      <w:r>
        <w:rPr>
          <w:rFonts w:hint="eastAsia"/>
        </w:rPr>
        <w:t>因特殊情形造成维修成本增加的，应单独按实计取维修费用。特殊情形包括：</w:t>
      </w:r>
    </w:p>
    <w:p>
      <w:pPr>
        <w:pStyle w:val="178"/>
        <w:numPr>
          <w:ilvl w:val="0"/>
          <w:numId w:val="59"/>
        </w:numPr>
      </w:pPr>
      <w:r>
        <w:rPr>
          <w:rFonts w:hint="eastAsia"/>
        </w:rPr>
        <w:t>因建筑年限久远或破旧情形非常严重而维修费用增加的；</w:t>
      </w:r>
    </w:p>
    <w:p>
      <w:pPr>
        <w:pStyle w:val="178"/>
        <w:numPr>
          <w:ilvl w:val="0"/>
          <w:numId w:val="59"/>
        </w:numPr>
      </w:pPr>
      <w:r>
        <w:rPr>
          <w:rFonts w:hint="eastAsia"/>
        </w:rPr>
        <w:t>因建筑同时办公和施工造成施工人工降效的；</w:t>
      </w:r>
    </w:p>
    <w:p>
      <w:pPr>
        <w:pStyle w:val="178"/>
        <w:numPr>
          <w:ilvl w:val="0"/>
          <w:numId w:val="59"/>
        </w:numPr>
      </w:pPr>
      <w:r>
        <w:rPr>
          <w:rFonts w:hint="eastAsia"/>
        </w:rPr>
        <w:t>因建筑构造或其他原因造成施工材料无法通过机械吊运，只能人工上楼的；</w:t>
      </w:r>
    </w:p>
    <w:p>
      <w:pPr>
        <w:pStyle w:val="178"/>
        <w:numPr>
          <w:ilvl w:val="0"/>
          <w:numId w:val="59"/>
        </w:numPr>
      </w:pPr>
      <w:r>
        <w:rPr>
          <w:rFonts w:hint="eastAsia"/>
        </w:rPr>
        <w:t>因建筑使用单位要求高于正常建筑施工标准，造成安全文明施工费增加的；</w:t>
      </w:r>
    </w:p>
    <w:p>
      <w:pPr>
        <w:pStyle w:val="178"/>
        <w:numPr>
          <w:ilvl w:val="0"/>
          <w:numId w:val="59"/>
        </w:numPr>
      </w:pPr>
      <w:r>
        <w:rPr>
          <w:rFonts w:hint="eastAsia"/>
        </w:rPr>
        <w:t>其他造成维修成本显著上升且无法忽略的情形。</w:t>
      </w:r>
    </w:p>
    <w:p>
      <w:pPr>
        <w:pStyle w:val="109"/>
        <w:spacing w:before="156" w:after="156"/>
        <w:rPr>
          <w:rFonts w:ascii="宋体"/>
          <w:szCs w:val="24"/>
        </w:rPr>
      </w:pPr>
      <w:bookmarkStart w:id="144" w:name="_Toc241610320"/>
      <w:bookmarkStart w:id="145" w:name="_Toc25936"/>
      <w:bookmarkStart w:id="146" w:name="_Toc241609804"/>
      <w:r>
        <w:rPr>
          <w:rFonts w:hint="eastAsia"/>
        </w:rPr>
        <w:t>造价控制</w:t>
      </w:r>
      <w:bookmarkEnd w:id="144"/>
      <w:bookmarkEnd w:id="145"/>
      <w:bookmarkEnd w:id="146"/>
      <w:bookmarkStart w:id="147" w:name="_Toc19208"/>
    </w:p>
    <w:p>
      <w:pPr>
        <w:pStyle w:val="69"/>
        <w:spacing w:before="156" w:after="156"/>
      </w:pPr>
      <w:r>
        <w:rPr>
          <w:rFonts w:hint="eastAsia"/>
        </w:rPr>
        <w:t>通用要求</w:t>
      </w:r>
    </w:p>
    <w:p>
      <w:pPr>
        <w:pStyle w:val="169"/>
        <w:numPr>
          <w:ilvl w:val="0"/>
          <w:numId w:val="0"/>
        </w:numPr>
        <w:ind w:firstLine="420" w:firstLineChars="200"/>
        <w:rPr>
          <w:rFonts w:hint="eastAsia"/>
        </w:rPr>
      </w:pPr>
      <w:r>
        <w:rPr>
          <w:rFonts w:hint="eastAsia"/>
        </w:rPr>
        <w:t>项目造价控制应遵循源头严控、过程严管、竣工严审的全周期管理原则，聚焦设计、预算、招采合同、施工变更、竣工结算关键环节，提升工程质量和资金效益。</w:t>
      </w:r>
    </w:p>
    <w:p>
      <w:pPr>
        <w:pStyle w:val="69"/>
        <w:spacing w:before="156" w:after="156"/>
      </w:pPr>
      <w:r>
        <w:rPr>
          <w:rFonts w:hint="eastAsia"/>
        </w:rPr>
        <w:t>结算事前源头控制</w:t>
      </w:r>
    </w:p>
    <w:p>
      <w:pPr>
        <w:pStyle w:val="60"/>
        <w:ind w:firstLine="420"/>
        <w:rPr>
          <w:rFonts w:hint="eastAsia"/>
        </w:rPr>
      </w:pPr>
      <w:r>
        <w:rPr>
          <w:rFonts w:hint="eastAsia"/>
        </w:rPr>
        <w:t>设计源头造价管控。设计单位应贯彻降低全寿命周期成本理念。在方案设计阶段对造价占比较高的核心部位和关键环节进行多方案经济技术比选，合理运用质优价廉的新材料新技术。预算精准合规管控。造价咨询机构应建立市场化的材料询价机制合理确定材料价格，精准核算工程量，对清单定额中利润较大的子目按照市场价格包干，结合同类项目经验数据对施工期间必然发生的风险费用进行准确预估包干。采购与合同风险固化管控。对采购需求进行详细调研，提高采购文件编制质量，合理确定评审因素权重，既确保采购环节竞争充分，又避免恶性低价竞争和围标串标。公平合理。细化合同条款，明确施工和结算时常见问题和纠纷的处置办法，重点降低不平衡报价对各方不良影响，保护各方合法权益。</w:t>
      </w:r>
    </w:p>
    <w:p>
      <w:pPr>
        <w:pStyle w:val="69"/>
        <w:spacing w:before="156" w:after="156"/>
        <w:rPr>
          <w:rFonts w:ascii="CESI宋体-GB13000" w:hAnsi="CESI宋体-GB13000" w:eastAsia="CESI宋体-GB13000" w:cs="CESI宋体-GB13000"/>
        </w:rPr>
      </w:pPr>
      <w:r>
        <w:rPr>
          <w:rFonts w:hint="eastAsia" w:ascii="CESI宋体-GB13000" w:hAnsi="CESI宋体-GB13000" w:eastAsia="CESI宋体-GB13000" w:cs="CESI宋体-GB13000"/>
        </w:rPr>
        <w:t>事中过程控制</w:t>
      </w:r>
    </w:p>
    <w:p>
      <w:pPr>
        <w:pStyle w:val="60"/>
        <w:ind w:firstLine="420"/>
      </w:pPr>
      <w:r>
        <w:rPr>
          <w:rFonts w:hint="eastAsia"/>
        </w:rPr>
        <w:t>事中过程控制要求如下：</w:t>
      </w:r>
    </w:p>
    <w:p>
      <w:pPr>
        <w:pStyle w:val="178"/>
        <w:numPr>
          <w:ilvl w:val="0"/>
          <w:numId w:val="60"/>
        </w:numPr>
        <w:rPr>
          <w:rFonts w:hint="eastAsia"/>
        </w:rPr>
      </w:pPr>
      <w:r>
        <w:rPr>
          <w:rFonts w:hint="eastAsia"/>
        </w:rPr>
        <w:t>施工方案技术优化管控。项目施工单位应仔细核对施工图纸，及时提出图纸存在的问题并报机关事务管理部门位确认解决方案。机关事务管理部门应鼓励项目施工单位提出性价比更优的施工方案，对项目施工单位超图纸、超指令擅自施工、违规返工整改产生的工程量，不予结算；未经审批擅自替换材料和设备的，追究相关责任；</w:t>
      </w:r>
    </w:p>
    <w:p>
      <w:pPr>
        <w:pStyle w:val="178"/>
        <w:rPr>
          <w:rFonts w:hint="eastAsia"/>
        </w:rPr>
      </w:pPr>
      <w:r>
        <w:rPr>
          <w:rFonts w:hint="eastAsia"/>
        </w:rPr>
        <w:t>工程变更在项目现场管理人员集体会商研究基础上并依程序报审批后执行，应具备经济合理性和可行性，防范安全隐患，确保工程质量严禁先施工后补手续、事后擅自增量；</w:t>
      </w:r>
    </w:p>
    <w:p>
      <w:pPr>
        <w:pStyle w:val="178"/>
        <w:rPr>
          <w:rFonts w:hint="eastAsia"/>
        </w:rPr>
      </w:pPr>
      <w:r>
        <w:rPr>
          <w:rFonts w:hint="eastAsia"/>
        </w:rPr>
        <w:t>现场签证精准确权管控。现场签证时应有多方到场，留存现场草签记录，参与签证的人员应按照实事求是的原则计量工程量，正式签证时应通过集体会议研究的方式进行，存在重大争议的签证可附注相关说明，在结算时会同审计机构一并研究解决。</w:t>
      </w:r>
    </w:p>
    <w:p>
      <w:pPr>
        <w:pStyle w:val="69"/>
        <w:spacing w:before="156" w:after="156"/>
      </w:pPr>
      <w:r>
        <w:rPr>
          <w:rFonts w:hint="eastAsia"/>
        </w:rPr>
        <w:t>事后终审控制</w:t>
      </w:r>
    </w:p>
    <w:p>
      <w:pPr>
        <w:pStyle w:val="60"/>
        <w:ind w:firstLine="420"/>
        <w:rPr>
          <w:rFonts w:hint="eastAsia"/>
        </w:rPr>
      </w:pPr>
      <w:r>
        <w:rPr>
          <w:rFonts w:hint="eastAsia"/>
        </w:rPr>
        <w:t>事后终审控制要求如下：</w:t>
      </w:r>
    </w:p>
    <w:p>
      <w:pPr>
        <w:pStyle w:val="178"/>
        <w:numPr>
          <w:ilvl w:val="0"/>
          <w:numId w:val="61"/>
        </w:numPr>
        <w:rPr>
          <w:rFonts w:hint="eastAsia"/>
        </w:rPr>
      </w:pPr>
      <w:r>
        <w:rPr>
          <w:rFonts w:hint="eastAsia"/>
        </w:rPr>
        <w:t>竣工内容与资料核查。项目竣工验收后，全面核对现场施工内容、变更签证落实情况、竣工资料的真实性与一致性，对未按标准施工、不合格返工、未实施的工程内容予以核减。项目施工单位须在竣工验收后28日内报送完整、真实的结算资料，承担虚报工程量、伪造资料、拒不配合终审等违规行为，以及逾期报送资料产生的结算滞后和违约风险。机关事务管理部门应对项目施工单位递交结算资料进行清理核对，与相关责任人员共同对资料真实性负责；</w:t>
      </w:r>
    </w:p>
    <w:p>
      <w:pPr>
        <w:pStyle w:val="178"/>
        <w:rPr>
          <w:rFonts w:hint="eastAsia"/>
        </w:rPr>
      </w:pPr>
      <w:r>
        <w:rPr>
          <w:rFonts w:hint="eastAsia"/>
        </w:rPr>
        <w:t>审计终审据实确权。第三方审计机构应坚持实事求是、公平合理和从严从紧的原则对结算资料进行审核，初审后应将初审情况向机关事务管理部门应通报再与项目实施单位进行对审。第三方审查机构应建立与市场接轨的材料询价机制，合理确定工程主要材料价格。采取查勘现场、对照图纸和检查计算式等方式严格审核工程量。对市场定价的子目可采取包干单价方式结算，和工程量难以准确复核的项目可根据实际情况采取总价估算包干方式结算。</w:t>
      </w:r>
    </w:p>
    <w:p>
      <w:pPr>
        <w:pStyle w:val="109"/>
        <w:spacing w:before="156" w:after="156"/>
      </w:pPr>
      <w:bookmarkStart w:id="148" w:name="_Toc241610321"/>
      <w:bookmarkStart w:id="149" w:name="_Toc241609805"/>
      <w:r>
        <w:rPr>
          <w:rFonts w:hint="eastAsia"/>
        </w:rPr>
        <w:t>绩效评价</w:t>
      </w:r>
      <w:bookmarkEnd w:id="147"/>
      <w:bookmarkEnd w:id="148"/>
      <w:bookmarkEnd w:id="149"/>
    </w:p>
    <w:p>
      <w:pPr>
        <w:pStyle w:val="169"/>
      </w:pPr>
      <w:r>
        <w:rPr>
          <w:rFonts w:hint="eastAsia"/>
        </w:rPr>
        <w:t>机关事务管理部门和财政部门应组织对办公用房维修项目进行绩效考评。</w:t>
      </w:r>
    </w:p>
    <w:p>
      <w:pPr>
        <w:pStyle w:val="169"/>
      </w:pPr>
      <w:r>
        <w:rPr>
          <w:rFonts w:hint="eastAsia"/>
        </w:rPr>
        <w:t>维修项目应按年度列项，依据维修规划制定年度维修项目资金计划和维修项目绩效管理目标。</w:t>
      </w:r>
    </w:p>
    <w:p>
      <w:pPr>
        <w:pStyle w:val="169"/>
      </w:pPr>
      <w:r>
        <w:rPr>
          <w:rFonts w:hint="eastAsia"/>
        </w:rPr>
        <w:t>绩效评价应包括项目决策、项目管理、项目产出、项目效益等内容。</w:t>
      </w:r>
    </w:p>
    <w:p>
      <w:pPr>
        <w:pStyle w:val="169"/>
      </w:pPr>
      <w:r>
        <w:rPr>
          <w:rFonts w:hint="eastAsia"/>
        </w:rPr>
        <w:t>绩效评价结果应作为今后安排维修资金的重要依据。</w:t>
      </w:r>
    </w:p>
    <w:p>
      <w:pPr>
        <w:pStyle w:val="109"/>
        <w:spacing w:before="156" w:after="156"/>
      </w:pPr>
      <w:bookmarkStart w:id="150" w:name="_Toc30480"/>
      <w:bookmarkStart w:id="151" w:name="_Toc241609806"/>
      <w:bookmarkStart w:id="152" w:name="_Toc241610322"/>
      <w:r>
        <w:rPr>
          <w:rFonts w:hint="eastAsia"/>
        </w:rPr>
        <w:t>档案管理</w:t>
      </w:r>
      <w:bookmarkEnd w:id="150"/>
      <w:bookmarkEnd w:id="151"/>
      <w:bookmarkEnd w:id="152"/>
    </w:p>
    <w:p>
      <w:pPr>
        <w:pStyle w:val="169"/>
      </w:pPr>
      <w:r>
        <w:rPr>
          <w:rFonts w:hint="eastAsia"/>
        </w:rPr>
        <w:t>维修项目应建立完整的档案资料，包括：</w:t>
      </w:r>
    </w:p>
    <w:p>
      <w:pPr>
        <w:pStyle w:val="178"/>
        <w:numPr>
          <w:ilvl w:val="0"/>
          <w:numId w:val="62"/>
        </w:numPr>
      </w:pPr>
      <w:r>
        <w:rPr>
          <w:rFonts w:hint="eastAsia"/>
        </w:rPr>
        <w:t>项目申报资料；</w:t>
      </w:r>
    </w:p>
    <w:p>
      <w:pPr>
        <w:pStyle w:val="178"/>
        <w:numPr>
          <w:ilvl w:val="0"/>
          <w:numId w:val="62"/>
        </w:numPr>
      </w:pPr>
      <w:r>
        <w:rPr>
          <w:rFonts w:hint="eastAsia"/>
        </w:rPr>
        <w:t>规划设计资料；</w:t>
      </w:r>
    </w:p>
    <w:p>
      <w:pPr>
        <w:pStyle w:val="178"/>
        <w:numPr>
          <w:ilvl w:val="0"/>
          <w:numId w:val="62"/>
        </w:numPr>
      </w:pPr>
      <w:r>
        <w:rPr>
          <w:rFonts w:hint="eastAsia"/>
        </w:rPr>
        <w:t>施工资料；</w:t>
      </w:r>
    </w:p>
    <w:p>
      <w:pPr>
        <w:pStyle w:val="178"/>
        <w:numPr>
          <w:ilvl w:val="0"/>
          <w:numId w:val="62"/>
        </w:numPr>
      </w:pPr>
      <w:r>
        <w:rPr>
          <w:rFonts w:hint="eastAsia"/>
        </w:rPr>
        <w:t>竣工验收资料；</w:t>
      </w:r>
    </w:p>
    <w:p>
      <w:pPr>
        <w:pStyle w:val="178"/>
        <w:numPr>
          <w:ilvl w:val="0"/>
          <w:numId w:val="62"/>
        </w:numPr>
      </w:pPr>
      <w:r>
        <w:rPr>
          <w:rFonts w:hint="eastAsia"/>
        </w:rPr>
        <w:t>结算审计资料；</w:t>
      </w:r>
    </w:p>
    <w:p>
      <w:pPr>
        <w:pStyle w:val="178"/>
        <w:numPr>
          <w:ilvl w:val="0"/>
          <w:numId w:val="62"/>
        </w:numPr>
      </w:pPr>
      <w:r>
        <w:rPr>
          <w:rFonts w:hint="eastAsia"/>
        </w:rPr>
        <w:t>绩效评价资料。</w:t>
      </w:r>
    </w:p>
    <w:p>
      <w:pPr>
        <w:pStyle w:val="169"/>
      </w:pPr>
      <w:r>
        <w:rPr>
          <w:rFonts w:hint="eastAsia"/>
        </w:rPr>
        <w:t>维修项目档案应按规定期限保存，电子档案应与纸质档案同步建立。</w:t>
      </w:r>
    </w:p>
    <w:p>
      <w:pPr>
        <w:pStyle w:val="60"/>
        <w:ind w:firstLine="420"/>
      </w:pPr>
    </w:p>
    <w:p>
      <w:pPr>
        <w:pStyle w:val="60"/>
        <w:ind w:firstLine="420"/>
        <w:sectPr>
          <w:pgSz w:w="11906" w:h="16838"/>
          <w:pgMar w:top="1928" w:right="1134" w:bottom="1134" w:left="1134" w:header="1418" w:footer="1134" w:gutter="284"/>
          <w:pgNumType w:start="1"/>
          <w:cols w:space="425" w:num="1"/>
          <w:formProt w:val="0"/>
          <w:docGrid w:type="lines" w:linePitch="312" w:charSpace="0"/>
        </w:sectPr>
      </w:pPr>
    </w:p>
    <w:bookmarkEnd w:id="19"/>
    <w:p>
      <w:pPr>
        <w:pStyle w:val="202"/>
        <w:rPr>
          <w:rFonts w:hint="eastAsia"/>
        </w:rPr>
      </w:pPr>
      <w:bookmarkStart w:id="153" w:name="BookMark5"/>
    </w:p>
    <w:p>
      <w:pPr>
        <w:pStyle w:val="203"/>
      </w:pPr>
    </w:p>
    <w:p>
      <w:pPr>
        <w:pStyle w:val="80"/>
        <w:spacing w:before="78" w:after="156"/>
      </w:pPr>
      <w:bookmarkStart w:id="154" w:name="_Toc28767"/>
      <w:r>
        <w:rPr>
          <w:rFonts w:hint="eastAsia"/>
        </w:rPr>
        <w:br w:type="textWrapping"/>
      </w:r>
      <w:bookmarkStart w:id="155" w:name="_Toc241610323"/>
      <w:bookmarkStart w:id="156" w:name="_Toc241609807"/>
      <w:r>
        <w:rPr>
          <w:rFonts w:hint="eastAsia"/>
        </w:rPr>
        <w:t>（规范性）</w:t>
      </w:r>
      <w:r>
        <w:rPr>
          <w:rFonts w:hint="eastAsia"/>
        </w:rPr>
        <w:br w:type="textWrapping"/>
      </w:r>
      <w:r>
        <w:rPr>
          <w:rFonts w:hint="eastAsia"/>
        </w:rPr>
        <w:t>承重系统检查、维修与验收技术要求</w:t>
      </w:r>
      <w:bookmarkEnd w:id="154"/>
      <w:bookmarkEnd w:id="155"/>
      <w:bookmarkEnd w:id="156"/>
    </w:p>
    <w:p>
      <w:pPr>
        <w:pStyle w:val="82"/>
        <w:spacing w:before="156" w:after="156"/>
      </w:pPr>
      <w:bookmarkStart w:id="157" w:name="_Toc20947"/>
      <w:bookmarkStart w:id="158" w:name="_Toc27886"/>
      <w:bookmarkStart w:id="159" w:name="_Toc241609808"/>
      <w:bookmarkStart w:id="160" w:name="_Toc32596"/>
      <w:bookmarkStart w:id="161" w:name="_Toc29579"/>
      <w:bookmarkStart w:id="162" w:name="_Toc30734"/>
      <w:bookmarkStart w:id="163" w:name="_Toc25827"/>
      <w:bookmarkStart w:id="164" w:name="_Toc241610324"/>
      <w:bookmarkStart w:id="165" w:name="_Toc31345"/>
      <w:bookmarkStart w:id="166" w:name="_Toc20608"/>
      <w:bookmarkStart w:id="167" w:name="_Toc17272"/>
      <w:bookmarkStart w:id="168" w:name="_Toc17310"/>
      <w:bookmarkStart w:id="169" w:name="_Toc22307"/>
      <w:bookmarkStart w:id="170" w:name="_Toc26771"/>
      <w:bookmarkStart w:id="171" w:name="_Toc18589"/>
      <w:bookmarkStart w:id="172" w:name="_Toc18617"/>
      <w:r>
        <w:rPr>
          <w:rFonts w:hint="eastAsia"/>
        </w:rPr>
        <w:t>一般规定和检查</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216"/>
      </w:pPr>
      <w:r>
        <w:t>办公用房承重</w:t>
      </w:r>
      <w:r>
        <w:rPr>
          <w:rFonts w:hint="eastAsia"/>
        </w:rPr>
        <w:t>系统</w:t>
      </w:r>
      <w:r>
        <w:t>结构包括地基基础、主体结构两部分，主体结构类型可分为砌体结构、混凝土结构、钢结构、砖木结构。</w:t>
      </w:r>
    </w:p>
    <w:p>
      <w:pPr>
        <w:pStyle w:val="216"/>
      </w:pPr>
      <w:r>
        <w:t>办公用房承重结构的</w:t>
      </w:r>
      <w:r>
        <w:rPr>
          <w:lang w:val="zh-CN"/>
        </w:rPr>
        <w:t>检查</w:t>
      </w:r>
      <w:r>
        <w:rPr>
          <w:szCs w:val="21"/>
        </w:rPr>
        <w:t>由使用单位负责实施</w:t>
      </w:r>
      <w:r>
        <w:rPr>
          <w:rFonts w:hint="eastAsia"/>
          <w:szCs w:val="21"/>
        </w:rPr>
        <w:t>，</w:t>
      </w:r>
      <w:r>
        <w:rPr>
          <w:lang w:val="zh-CN"/>
        </w:rPr>
        <w:t>包括</w:t>
      </w:r>
      <w:r>
        <w:t>日常检查和综合检查</w:t>
      </w:r>
      <w:r>
        <w:rPr>
          <w:rFonts w:hint="eastAsia"/>
        </w:rPr>
        <w:t>，</w:t>
      </w:r>
      <w:r>
        <w:t>。</w:t>
      </w:r>
    </w:p>
    <w:p>
      <w:pPr>
        <w:pStyle w:val="178"/>
        <w:numPr>
          <w:ilvl w:val="0"/>
          <w:numId w:val="63"/>
        </w:numPr>
      </w:pPr>
      <w:r>
        <w:t xml:space="preserve">日常检查宜在房屋投入使用后的前3年（软弱地基应为前5年），每年进行1次， </w:t>
      </w:r>
      <w:r>
        <w:rPr>
          <w:rFonts w:hint="eastAsia"/>
        </w:rPr>
        <w:t>以后</w:t>
      </w:r>
      <w:r>
        <w:t>每隔6～12年检查1次；使用超过30年的办公用房，检查间隔宜为3～6年</w:t>
      </w:r>
      <w:r>
        <w:rPr>
          <w:rFonts w:hint="eastAsia"/>
        </w:rPr>
        <w:t>；</w:t>
      </w:r>
    </w:p>
    <w:p>
      <w:pPr>
        <w:pStyle w:val="178"/>
        <w:numPr>
          <w:ilvl w:val="0"/>
          <w:numId w:val="63"/>
        </w:numPr>
      </w:pPr>
      <w:r>
        <w:t>综合检查宜每隔12年进行1次，宜与日常检查错开。若日常检查时发现较严重的问题，应立即进行综合检查。</w:t>
      </w:r>
    </w:p>
    <w:p>
      <w:pPr>
        <w:pStyle w:val="216"/>
      </w:pPr>
      <w:r>
        <w:t>对承重结构系统的综合检查应</w:t>
      </w:r>
      <w:r>
        <w:rPr>
          <w:rFonts w:hint="eastAsia"/>
        </w:rPr>
        <w:t>由使用单位</w:t>
      </w:r>
      <w:r>
        <w:t>委托有资质的单位进行检测</w:t>
      </w:r>
      <w:r>
        <w:rPr>
          <w:rFonts w:hint="eastAsia"/>
        </w:rPr>
        <w:t>，</w:t>
      </w:r>
      <w:r>
        <w:t>出现下列情况时应进行综合检查</w:t>
      </w:r>
      <w:r>
        <w:rPr>
          <w:rFonts w:hint="eastAsia"/>
        </w:rPr>
        <w:t>：</w:t>
      </w:r>
    </w:p>
    <w:p>
      <w:pPr>
        <w:pStyle w:val="178"/>
        <w:numPr>
          <w:ilvl w:val="0"/>
          <w:numId w:val="64"/>
        </w:numPr>
      </w:pPr>
      <w:r>
        <w:rPr>
          <w:rFonts w:hint="eastAsia"/>
        </w:rPr>
        <w:t>发现紧急情况时，如地基出现明显沉降、结构濒临危险状态、构件产生异常变形、振动或遭受意外损伤等；</w:t>
      </w:r>
    </w:p>
    <w:p>
      <w:pPr>
        <w:pStyle w:val="178"/>
        <w:numPr>
          <w:ilvl w:val="0"/>
          <w:numId w:val="64"/>
        </w:numPr>
      </w:pPr>
      <w:r>
        <w:rPr>
          <w:rFonts w:hint="eastAsia"/>
        </w:rPr>
        <w:t>地震作用或其他灾害发生后；</w:t>
      </w:r>
    </w:p>
    <w:p>
      <w:pPr>
        <w:pStyle w:val="178"/>
        <w:numPr>
          <w:ilvl w:val="0"/>
          <w:numId w:val="64"/>
        </w:numPr>
      </w:pPr>
      <w:r>
        <w:rPr>
          <w:rFonts w:hint="eastAsia"/>
        </w:rPr>
        <w:t>结构改造、改建或扩建前；</w:t>
      </w:r>
    </w:p>
    <w:p>
      <w:pPr>
        <w:pStyle w:val="178"/>
        <w:numPr>
          <w:ilvl w:val="0"/>
          <w:numId w:val="64"/>
        </w:numPr>
      </w:pPr>
      <w:r>
        <w:rPr>
          <w:rFonts w:hint="eastAsia"/>
        </w:rPr>
        <w:t>建筑物改变用途或使用环境时；</w:t>
      </w:r>
    </w:p>
    <w:p>
      <w:pPr>
        <w:pStyle w:val="178"/>
        <w:numPr>
          <w:ilvl w:val="0"/>
          <w:numId w:val="64"/>
        </w:numPr>
      </w:pPr>
      <w:r>
        <w:rPr>
          <w:rFonts w:hint="eastAsia"/>
        </w:rPr>
        <w:t>有特别重要的任务，须确保房屋在指定期间的安全时，对房屋进行以消除隐患与组</w:t>
      </w:r>
      <w:r>
        <w:t>织监控为目标的检查。</w:t>
      </w:r>
    </w:p>
    <w:p>
      <w:pPr>
        <w:pStyle w:val="216"/>
      </w:pPr>
      <w:r>
        <w:t>根据实际情况，宜</w:t>
      </w:r>
      <w:r>
        <w:rPr>
          <w:rFonts w:hint="eastAsia"/>
        </w:rPr>
        <w:t>在综合检查基础上</w:t>
      </w:r>
      <w:r>
        <w:t>对</w:t>
      </w:r>
      <w:r>
        <w:rPr>
          <w:rFonts w:hint="eastAsia"/>
        </w:rPr>
        <w:t>办公用房</w:t>
      </w:r>
      <w:r>
        <w:t>承重结构进行结构安全性、适用性、耐久性及抗灾害能力</w:t>
      </w:r>
      <w:r>
        <w:rPr>
          <w:rFonts w:hint="eastAsia"/>
        </w:rPr>
        <w:t>进行安全</w:t>
      </w:r>
      <w:r>
        <w:t>检查、评定</w:t>
      </w:r>
      <w:r>
        <w:rPr>
          <w:rFonts w:hint="eastAsia"/>
        </w:rPr>
        <w:t>。评定</w:t>
      </w:r>
      <w:r>
        <w:t>可按构件、子单元两个层次分别评级。</w:t>
      </w:r>
    </w:p>
    <w:p>
      <w:pPr>
        <w:pStyle w:val="216"/>
        <w:rPr>
          <w:lang w:val="zh-CN"/>
        </w:rPr>
      </w:pPr>
      <w:r>
        <w:t>对承重结构应从</w:t>
      </w:r>
      <w:r>
        <w:rPr>
          <w:lang w:val="zh-CN"/>
        </w:rPr>
        <w:t>结构体系、构造连接、构件承载力及损伤状况等方面进行检查</w:t>
      </w:r>
      <w:r>
        <w:t>、评定</w:t>
      </w:r>
      <w:r>
        <w:rPr>
          <w:lang w:val="zh-CN"/>
        </w:rPr>
        <w:t>。现场检查时应对设计图纸、岩土工程勘察报告、施工验收等资料进行核查。</w:t>
      </w:r>
      <w:bookmarkStart w:id="173" w:name="_Toc404929789"/>
      <w:bookmarkStart w:id="174" w:name="_Toc441240364"/>
      <w:bookmarkStart w:id="175" w:name="_Toc404932190"/>
    </w:p>
    <w:p>
      <w:pPr>
        <w:pStyle w:val="216"/>
      </w:pPr>
      <w:r>
        <w:rPr>
          <w:rFonts w:hint="eastAsia"/>
        </w:rPr>
        <w:t>办公用房</w:t>
      </w:r>
      <w:r>
        <w:t>经检查评定</w:t>
      </w:r>
      <w:r>
        <w:rPr>
          <w:rFonts w:hint="eastAsia"/>
        </w:rPr>
        <w:t>和审批</w:t>
      </w:r>
      <w:r>
        <w:t>为</w:t>
      </w:r>
      <w:r>
        <w:rPr>
          <w:rFonts w:hint="eastAsia"/>
        </w:rPr>
        <w:t>维修</w:t>
      </w:r>
      <w:r>
        <w:t>后，应编制</w:t>
      </w:r>
      <w:r>
        <w:rPr>
          <w:rFonts w:hint="eastAsia"/>
        </w:rPr>
        <w:t>维修</w:t>
      </w:r>
      <w:r>
        <w:t>方案。</w:t>
      </w:r>
    </w:p>
    <w:p>
      <w:pPr>
        <w:pStyle w:val="216"/>
      </w:pPr>
      <w:r>
        <w:rPr>
          <w:rFonts w:hint="eastAsia"/>
        </w:rPr>
        <w:t>办公用房结构系统维修</w:t>
      </w:r>
      <w:r>
        <w:t>方案至少应包括</w:t>
      </w:r>
      <w:r>
        <w:rPr>
          <w:rFonts w:hint="eastAsia"/>
        </w:rPr>
        <w:t>下列</w:t>
      </w:r>
      <w:r>
        <w:t>内容：</w:t>
      </w:r>
    </w:p>
    <w:p>
      <w:pPr>
        <w:pStyle w:val="178"/>
        <w:numPr>
          <w:ilvl w:val="0"/>
          <w:numId w:val="65"/>
        </w:numPr>
      </w:pPr>
      <w:r>
        <w:rPr>
          <w:rFonts w:hint="eastAsia"/>
        </w:rPr>
        <w:t>办公建筑基本概况，包括建筑面积、建造年代、总高度以及平面布置等；</w:t>
      </w:r>
    </w:p>
    <w:p>
      <w:pPr>
        <w:pStyle w:val="178"/>
        <w:numPr>
          <w:ilvl w:val="0"/>
          <w:numId w:val="65"/>
        </w:numPr>
      </w:pPr>
      <w:r>
        <w:rPr>
          <w:rFonts w:hint="eastAsia"/>
        </w:rPr>
        <w:t>承重结构现状，包括地基持力层、基础埋深、基础形式、场地类别、结构体系、材料强度、层数、层高、抗震设防烈度及类别，楼面恒、活荷载取值等；</w:t>
      </w:r>
    </w:p>
    <w:p>
      <w:pPr>
        <w:pStyle w:val="178"/>
        <w:numPr>
          <w:ilvl w:val="0"/>
          <w:numId w:val="65"/>
        </w:numPr>
      </w:pPr>
      <w:r>
        <w:rPr>
          <w:rFonts w:hint="eastAsia"/>
        </w:rPr>
        <w:t>承重结构的检查与评定结果，包括检查内容和检查结果；</w:t>
      </w:r>
    </w:p>
    <w:p>
      <w:pPr>
        <w:pStyle w:val="178"/>
        <w:numPr>
          <w:ilvl w:val="0"/>
          <w:numId w:val="65"/>
        </w:numPr>
      </w:pPr>
      <w:r>
        <w:rPr>
          <w:rFonts w:hint="eastAsia"/>
        </w:rPr>
        <w:t>承重结构维修的可行性方案；</w:t>
      </w:r>
    </w:p>
    <w:p>
      <w:pPr>
        <w:pStyle w:val="178"/>
        <w:numPr>
          <w:ilvl w:val="0"/>
          <w:numId w:val="65"/>
        </w:numPr>
        <w:rPr>
          <w:lang w:val="zh-CN"/>
        </w:rPr>
      </w:pPr>
      <w:r>
        <w:rPr>
          <w:rFonts w:hint="eastAsia"/>
        </w:rPr>
        <w:t>维修加固方案，包括维修改造内容、初步设计方案、需加固的构件部位、加固方法、</w:t>
      </w:r>
      <w:r>
        <w:t>材料、设备、施工周期、施工安全措施、维修概算等。</w:t>
      </w:r>
    </w:p>
    <w:p>
      <w:pPr>
        <w:pStyle w:val="82"/>
        <w:spacing w:before="156" w:after="156"/>
      </w:pPr>
      <w:bookmarkStart w:id="176" w:name="_Toc21473"/>
      <w:bookmarkStart w:id="177" w:name="_Toc20213"/>
      <w:bookmarkStart w:id="178" w:name="_Toc5963"/>
      <w:bookmarkStart w:id="179" w:name="_Toc15572"/>
      <w:bookmarkStart w:id="180" w:name="_Toc5281"/>
      <w:bookmarkStart w:id="181" w:name="_Toc2988"/>
      <w:bookmarkStart w:id="182" w:name="_Toc26204"/>
      <w:bookmarkStart w:id="183" w:name="_Toc241610325"/>
      <w:bookmarkStart w:id="184" w:name="_Toc19029"/>
      <w:bookmarkStart w:id="185" w:name="_Toc17407"/>
      <w:bookmarkStart w:id="186" w:name="_Toc2261"/>
      <w:bookmarkStart w:id="187" w:name="_Toc241609809"/>
      <w:bookmarkStart w:id="188" w:name="_Toc14917"/>
      <w:bookmarkStart w:id="189" w:name="_Toc4824"/>
      <w:bookmarkStart w:id="190" w:name="_Toc28591"/>
      <w:bookmarkStart w:id="191" w:name="_Toc6976"/>
      <w:r>
        <w:rPr>
          <w:rFonts w:hint="eastAsia"/>
        </w:rPr>
        <w:t>承重结构系统维修</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216"/>
      </w:pPr>
      <w:r>
        <w:rPr>
          <w:rFonts w:hint="eastAsia"/>
        </w:rPr>
        <w:t>办公用房承重结构维修应</w:t>
      </w:r>
      <w:r>
        <w:t>根据承重结构系统的评定结果，确定具体维修项目及部位。对不影响结构安全及使用安全的，可由使用单位组织日常维修。对影响结构安全或使用安全的，</w:t>
      </w:r>
      <w:r>
        <w:rPr>
          <w:rFonts w:hint="eastAsia"/>
        </w:rPr>
        <w:t>机关事务管理部门</w:t>
      </w:r>
      <w:r>
        <w:t>可委托有资质的鉴定单位出具处理方案并进行</w:t>
      </w:r>
      <w:r>
        <w:rPr>
          <w:rFonts w:hint="eastAsia"/>
        </w:rPr>
        <w:t>维修</w:t>
      </w:r>
      <w:r>
        <w:t>，处理方案可作为</w:t>
      </w:r>
      <w:r>
        <w:rPr>
          <w:rFonts w:hint="eastAsia"/>
        </w:rPr>
        <w:t>维修</w:t>
      </w:r>
      <w:r>
        <w:t>项目的验收依据。对重要性较高、难度较大及文物项目应进行技术论证和方案的经济性比较。</w:t>
      </w:r>
    </w:p>
    <w:p>
      <w:pPr>
        <w:pStyle w:val="216"/>
      </w:pPr>
      <w:r>
        <w:t>承重系统</w:t>
      </w:r>
      <w:r>
        <w:rPr>
          <w:rFonts w:hint="eastAsia"/>
        </w:rPr>
        <w:t>维修</w:t>
      </w:r>
      <w:r>
        <w:t>的后续使用年限一般为30年。</w:t>
      </w:r>
    </w:p>
    <w:p>
      <w:pPr>
        <w:pStyle w:val="216"/>
      </w:pPr>
      <w:r>
        <w:t>承重系统的日常维修主要包括：回填土夯实，混凝土及砖木结构裂缝封闭，混凝土及砖木结构表面防护，渗漏处理，钢部件除锈，钢结构防锈和防火涂层涂刷，木结构防腐、防火和防蛀处理，易损零部件更换等。</w:t>
      </w:r>
    </w:p>
    <w:p>
      <w:pPr>
        <w:pStyle w:val="216"/>
      </w:pPr>
      <w:r>
        <w:t>承重系统的</w:t>
      </w:r>
      <w:r>
        <w:rPr>
          <w:rFonts w:hint="eastAsia"/>
        </w:rPr>
        <w:t>维修方案、施工维修应委托</w:t>
      </w:r>
      <w:r>
        <w:t>有相应资质的</w:t>
      </w:r>
      <w:r>
        <w:rPr>
          <w:rFonts w:hint="eastAsia"/>
        </w:rPr>
        <w:t>设计、</w:t>
      </w:r>
      <w:r>
        <w:rPr>
          <w:rFonts w:hint="eastAsia"/>
          <w:u w:val="single"/>
        </w:rPr>
        <w:t>项目施工单位</w:t>
      </w:r>
      <w:r>
        <w:t>进行，</w:t>
      </w:r>
      <w:r>
        <w:rPr>
          <w:rFonts w:hint="eastAsia"/>
        </w:rPr>
        <w:t>根据维修目的、现场和环境条件，分部工程维修宜按</w:t>
      </w:r>
      <w:r>
        <w:t>下列</w:t>
      </w:r>
      <w:r>
        <w:rPr>
          <w:rFonts w:hint="eastAsia"/>
        </w:rPr>
        <w:t>要求进行</w:t>
      </w:r>
      <w:r>
        <w:t>：</w:t>
      </w:r>
    </w:p>
    <w:p>
      <w:pPr>
        <w:pStyle w:val="178"/>
        <w:numPr>
          <w:ilvl w:val="0"/>
          <w:numId w:val="66"/>
        </w:numPr>
      </w:pPr>
      <w:r>
        <w:rPr>
          <w:rFonts w:hint="eastAsia"/>
        </w:rPr>
        <w:t>地基基础维修：选择基础补强注浆加固法、扩大基础底面积法、基础加深法、锚杆静压桩法、树根桩法、坑式静压桩法、石灰桩法、注浆加固法等；</w:t>
      </w:r>
    </w:p>
    <w:p>
      <w:pPr>
        <w:pStyle w:val="178"/>
        <w:numPr>
          <w:ilvl w:val="0"/>
          <w:numId w:val="66"/>
        </w:numPr>
      </w:pPr>
      <w:r>
        <w:rPr>
          <w:rFonts w:hint="eastAsia"/>
        </w:rPr>
        <w:t>砌体结构维修：选择混凝土面层加固法、钢筋网水泥砂浆面层加固法、外包型钢加固法、外加预应力撑杆加固法、粘贴纤维复合材加固法、钢丝绳网-聚合物改性水泥砂浆面层加固法、增设砌体扶壁柱加固法、构造性加固法等；</w:t>
      </w:r>
    </w:p>
    <w:p>
      <w:pPr>
        <w:pStyle w:val="178"/>
        <w:numPr>
          <w:ilvl w:val="0"/>
          <w:numId w:val="66"/>
        </w:numPr>
      </w:pPr>
      <w:r>
        <w:rPr>
          <w:rFonts w:hint="eastAsia"/>
        </w:rPr>
        <w:t>混凝土结构维修：选择加大截面法、置换加固法、外加预应力法、外粘型钢法、粘贴纤维复合材法、粘贴钢板法、增设支点法、植筋法等适宜的方法；</w:t>
      </w:r>
    </w:p>
    <w:p>
      <w:pPr>
        <w:pStyle w:val="178"/>
        <w:numPr>
          <w:ilvl w:val="0"/>
          <w:numId w:val="66"/>
        </w:numPr>
      </w:pPr>
      <w:r>
        <w:rPr>
          <w:rFonts w:hint="eastAsia"/>
        </w:rPr>
        <w:t>钢结构维修：选择改变结构计算图形法、加大截面法、连接加固法、焊接法等适宜的方法对构件、节点及焊缝进行加固处理等；</w:t>
      </w:r>
    </w:p>
    <w:p>
      <w:pPr>
        <w:pStyle w:val="178"/>
        <w:numPr>
          <w:ilvl w:val="0"/>
          <w:numId w:val="66"/>
        </w:numPr>
      </w:pPr>
      <w:r>
        <w:rPr>
          <w:rFonts w:hint="eastAsia"/>
        </w:rPr>
        <w:t>砖木结构维修：选择减小荷载法、墩接法、注胶法、更换构件法、铁箍加固法、支</w:t>
      </w:r>
      <w:r>
        <w:t>顶法、外包钢法、粘贴纤维材料法等适宜的方法。</w:t>
      </w:r>
    </w:p>
    <w:p>
      <w:pPr>
        <w:pStyle w:val="216"/>
      </w:pPr>
      <w:r>
        <w:t>对承重系统维修、加固工程可按《建筑结构加固工程施工质量验收规范》</w:t>
      </w:r>
      <w:r>
        <w:rPr>
          <w:rFonts w:hint="eastAsia"/>
        </w:rPr>
        <w:t>GB</w:t>
      </w:r>
      <w:r>
        <w:t xml:space="preserve"> 50550的规定进行质量验收。</w:t>
      </w:r>
    </w:p>
    <w:p>
      <w:pPr>
        <w:pStyle w:val="216"/>
      </w:pPr>
      <w:r>
        <w:t>维修、加固材料的性能应符合国家、行业或地方标准要求，按规定进行进场检验、抽样复检，验收时应具有下列资料：</w:t>
      </w:r>
    </w:p>
    <w:p>
      <w:pPr>
        <w:pStyle w:val="178"/>
        <w:numPr>
          <w:ilvl w:val="0"/>
          <w:numId w:val="67"/>
        </w:numPr>
      </w:pPr>
      <w:r>
        <w:rPr>
          <w:rFonts w:hint="eastAsia"/>
        </w:rPr>
        <w:t>鉴定报告、设计方案、图纸会审、设计变更、洽商记录；</w:t>
      </w:r>
    </w:p>
    <w:p>
      <w:pPr>
        <w:pStyle w:val="178"/>
        <w:numPr>
          <w:ilvl w:val="0"/>
          <w:numId w:val="67"/>
        </w:numPr>
      </w:pPr>
      <w:r>
        <w:rPr>
          <w:rFonts w:hint="eastAsia"/>
          <w:u w:val="single"/>
        </w:rPr>
        <w:t>项目施工单位</w:t>
      </w:r>
      <w:r>
        <w:rPr>
          <w:rFonts w:hint="eastAsia"/>
        </w:rPr>
        <w:t>的资质证书，主要操作人员上岗证；</w:t>
      </w:r>
    </w:p>
    <w:p>
      <w:pPr>
        <w:pStyle w:val="178"/>
        <w:numPr>
          <w:ilvl w:val="0"/>
          <w:numId w:val="67"/>
        </w:numPr>
      </w:pPr>
      <w:r>
        <w:rPr>
          <w:rFonts w:hint="eastAsia"/>
        </w:rPr>
        <w:t>施工方案及技术、安全交底；</w:t>
      </w:r>
    </w:p>
    <w:p>
      <w:pPr>
        <w:pStyle w:val="178"/>
        <w:numPr>
          <w:ilvl w:val="0"/>
          <w:numId w:val="67"/>
        </w:numPr>
      </w:pPr>
      <w:r>
        <w:rPr>
          <w:rFonts w:hint="eastAsia"/>
        </w:rPr>
        <w:t>材料的产品合格证、质保书、复检试验报告；</w:t>
      </w:r>
    </w:p>
    <w:p>
      <w:pPr>
        <w:pStyle w:val="178"/>
        <w:numPr>
          <w:ilvl w:val="0"/>
          <w:numId w:val="67"/>
        </w:numPr>
      </w:pPr>
      <w:r>
        <w:rPr>
          <w:rFonts w:hint="eastAsia"/>
        </w:rPr>
        <w:t>质量验收记录，现场检验报告。</w:t>
      </w:r>
    </w:p>
    <w:p>
      <w:pPr>
        <w:pStyle w:val="82"/>
        <w:spacing w:before="156" w:after="156"/>
        <w:rPr>
          <w:rFonts w:ascii="宋体" w:hAnsi="宋体" w:eastAsia="宋体" w:cs="宋体"/>
        </w:rPr>
      </w:pPr>
      <w:bookmarkStart w:id="192" w:name="_Toc241609810"/>
      <w:bookmarkStart w:id="193" w:name="_Toc13640"/>
      <w:bookmarkStart w:id="194" w:name="_Toc26502"/>
      <w:bookmarkStart w:id="195" w:name="_Toc32406"/>
      <w:bookmarkStart w:id="196" w:name="_Toc241610326"/>
      <w:r>
        <w:rPr>
          <w:rFonts w:hint="eastAsia"/>
        </w:rPr>
        <w:t>承重结构系统维修验收</w:t>
      </w:r>
      <w:bookmarkEnd w:id="192"/>
      <w:bookmarkEnd w:id="193"/>
      <w:bookmarkEnd w:id="194"/>
      <w:bookmarkEnd w:id="195"/>
      <w:bookmarkEnd w:id="196"/>
    </w:p>
    <w:p>
      <w:pPr>
        <w:ind w:firstLine="420" w:firstLineChars="200"/>
        <w:rPr>
          <w:rFonts w:ascii="宋体" w:hAnsi="宋体" w:cs="宋体"/>
        </w:rPr>
      </w:pPr>
      <w:r>
        <w:rPr>
          <w:rFonts w:hint="eastAsia" w:ascii="宋体" w:hAnsi="宋体" w:cs="宋体"/>
        </w:rPr>
        <w:t>承重系统维修、加固的设计、施工、验收，应参照相关标准执行，包括GB 50068、GB 50007、GB 50003、GB 50010、GB 50017、GB50005、GB/T 50476、GB 50202、GB 50203、GB 50204、GB 50205、GB 50206、GB 50550、GB 50223、GB 50292、GB 50023、GB 50702、GB 50367、GB 50165、GB 50843、JGJ 123、JGJ 116、JGJ/T 279等。</w:t>
      </w:r>
    </w:p>
    <w:p>
      <w:pPr>
        <w:pStyle w:val="60"/>
        <w:ind w:firstLine="420"/>
      </w:pPr>
    </w:p>
    <w:p>
      <w:pPr>
        <w:pStyle w:val="60"/>
        <w:ind w:firstLine="420"/>
      </w:pPr>
    </w:p>
    <w:p>
      <w:pPr>
        <w:pStyle w:val="60"/>
        <w:ind w:firstLine="420"/>
      </w:pPr>
    </w:p>
    <w:p>
      <w:pPr>
        <w:pStyle w:val="60"/>
        <w:ind w:firstLine="420"/>
        <w:sectPr>
          <w:footerReference r:id="rId13" w:type="default"/>
          <w:pgSz w:w="11906" w:h="16838"/>
          <w:pgMar w:top="1928" w:right="1134" w:bottom="1134" w:left="1134" w:header="1418" w:footer="1134" w:gutter="284"/>
          <w:cols w:space="425" w:num="1"/>
          <w:formProt w:val="0"/>
          <w:docGrid w:type="lines" w:linePitch="312" w:charSpace="0"/>
        </w:sectPr>
      </w:pPr>
    </w:p>
    <w:p>
      <w:pPr>
        <w:pStyle w:val="202"/>
        <w:rPr>
          <w:rFonts w:hint="eastAsia"/>
        </w:rPr>
      </w:pPr>
    </w:p>
    <w:p>
      <w:pPr>
        <w:pStyle w:val="203"/>
      </w:pPr>
    </w:p>
    <w:p>
      <w:pPr>
        <w:pStyle w:val="80"/>
        <w:spacing w:before="78" w:after="156"/>
      </w:pPr>
      <w:bookmarkStart w:id="197" w:name="_Toc5489"/>
      <w:r>
        <w:rPr>
          <w:rFonts w:hint="eastAsia"/>
        </w:rPr>
        <w:br w:type="textWrapping"/>
      </w:r>
      <w:bookmarkStart w:id="198" w:name="_Toc241610327"/>
      <w:bookmarkStart w:id="199" w:name="_Toc241609811"/>
      <w:r>
        <w:rPr>
          <w:rFonts w:hint="eastAsia"/>
        </w:rPr>
        <w:t>（规范性）</w:t>
      </w:r>
      <w:r>
        <w:rPr>
          <w:rFonts w:hint="eastAsia"/>
        </w:rPr>
        <w:br w:type="textWrapping"/>
      </w:r>
      <w:r>
        <w:rPr>
          <w:rFonts w:hint="eastAsia"/>
        </w:rPr>
        <w:t>围护结构系统检查、维修与验收要求</w:t>
      </w:r>
      <w:bookmarkEnd w:id="197"/>
      <w:bookmarkEnd w:id="198"/>
      <w:bookmarkEnd w:id="199"/>
    </w:p>
    <w:p>
      <w:pPr>
        <w:pStyle w:val="82"/>
        <w:spacing w:before="156" w:after="156"/>
      </w:pPr>
      <w:bookmarkStart w:id="200" w:name="_Toc404932192"/>
      <w:bookmarkStart w:id="201" w:name="_Toc441240366"/>
      <w:bookmarkStart w:id="202" w:name="_Toc404929791"/>
      <w:bookmarkStart w:id="203" w:name="_Toc500"/>
      <w:bookmarkStart w:id="204" w:name="_Toc241609812"/>
      <w:bookmarkStart w:id="205" w:name="_Toc23624"/>
      <w:bookmarkStart w:id="206" w:name="_Toc16199"/>
      <w:bookmarkStart w:id="207" w:name="_Toc241610328"/>
      <w:bookmarkStart w:id="208" w:name="_Toc27591"/>
      <w:bookmarkStart w:id="209" w:name="_Toc18214"/>
      <w:bookmarkStart w:id="210" w:name="_Toc24992"/>
      <w:bookmarkStart w:id="211" w:name="_Toc26143"/>
      <w:bookmarkStart w:id="212" w:name="_Toc27382"/>
      <w:bookmarkStart w:id="213" w:name="_Toc16417"/>
      <w:bookmarkStart w:id="214" w:name="_Toc26631"/>
      <w:bookmarkStart w:id="215" w:name="_Toc13950"/>
      <w:bookmarkStart w:id="216" w:name="_Toc15225"/>
      <w:bookmarkStart w:id="217" w:name="_Toc12595"/>
      <w:bookmarkStart w:id="218" w:name="_Toc31332"/>
      <w:r>
        <w:rPr>
          <w:rFonts w:hint="eastAsia"/>
        </w:rPr>
        <w:t>一般规定</w:t>
      </w:r>
      <w:bookmarkEnd w:id="200"/>
      <w:bookmarkEnd w:id="201"/>
      <w:bookmarkEnd w:id="202"/>
      <w:r>
        <w:rPr>
          <w:rFonts w:hint="eastAsia"/>
        </w:rPr>
        <w:t>和检查</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216"/>
      </w:pPr>
      <w:r>
        <w:rPr>
          <w:rFonts w:hint="eastAsia"/>
        </w:rPr>
        <w:t>办公用房的</w:t>
      </w:r>
      <w:r>
        <w:t>围护系统</w:t>
      </w:r>
      <w:r>
        <w:rPr>
          <w:rFonts w:hint="eastAsia"/>
        </w:rPr>
        <w:t>维修主要</w:t>
      </w:r>
      <w:r>
        <w:t>包括</w:t>
      </w:r>
      <w:r>
        <w:rPr>
          <w:rFonts w:hint="eastAsia"/>
        </w:rPr>
        <w:t>建筑物或构筑物的</w:t>
      </w:r>
      <w:r>
        <w:t>地下防水、楼面防水、</w:t>
      </w:r>
      <w:r>
        <w:rPr>
          <w:rFonts w:hint="eastAsia"/>
        </w:rPr>
        <w:t>建筑外墙装饰及防水保温、</w:t>
      </w:r>
      <w:r>
        <w:t>非承重墙体、屋面</w:t>
      </w:r>
      <w:r>
        <w:rPr>
          <w:rFonts w:hint="eastAsia"/>
        </w:rPr>
        <w:t>及屋面保温防水维修</w:t>
      </w:r>
      <w:r>
        <w:t>。</w:t>
      </w:r>
    </w:p>
    <w:p>
      <w:pPr>
        <w:pStyle w:val="216"/>
      </w:pPr>
      <w:r>
        <w:rPr>
          <w:rFonts w:hint="eastAsia"/>
        </w:rPr>
        <w:t>办公用房围护结构系统检查由使用单位负责实施，分日常检查和综合检查，检查执行下列规定：</w:t>
      </w:r>
    </w:p>
    <w:p>
      <w:pPr>
        <w:pStyle w:val="178"/>
        <w:numPr>
          <w:ilvl w:val="0"/>
          <w:numId w:val="68"/>
        </w:numPr>
      </w:pPr>
      <w:r>
        <w:rPr>
          <w:rFonts w:hint="eastAsia"/>
        </w:rPr>
        <w:t>日常检查宜在房屋投入使用后的前3年，每年雨季前进行1次，之后每隔3年检查1次；</w:t>
      </w:r>
    </w:p>
    <w:p>
      <w:pPr>
        <w:pStyle w:val="178"/>
        <w:numPr>
          <w:ilvl w:val="0"/>
          <w:numId w:val="68"/>
        </w:numPr>
      </w:pPr>
      <w:r>
        <w:rPr>
          <w:rFonts w:hint="eastAsia"/>
        </w:rPr>
        <w:t>综合检查宜每隔5年进行1次，且应与日常检查错开进行。若日常检查中发现严重问题，应委托有资质的单位进行综合检查。</w:t>
      </w:r>
    </w:p>
    <w:p>
      <w:pPr>
        <w:pStyle w:val="216"/>
      </w:pPr>
      <w:r>
        <w:rPr>
          <w:rFonts w:hint="eastAsia"/>
        </w:rPr>
        <w:t>对办公用房围护系统进行安全性和使用性的检查、评定时。应针对围护系统的特点进行重要部件及其与主体结构连接的检测；必要时，应按现行有关围护系统设计、施工规范的要求进行抽样检测。</w:t>
      </w:r>
    </w:p>
    <w:p>
      <w:pPr>
        <w:pStyle w:val="216"/>
      </w:pPr>
      <w:r>
        <w:rPr>
          <w:rFonts w:hint="eastAsia"/>
        </w:rPr>
        <w:t>办公用房发生下列情况时，使用单位应进行综合检查：</w:t>
      </w:r>
    </w:p>
    <w:p>
      <w:pPr>
        <w:pStyle w:val="178"/>
        <w:numPr>
          <w:ilvl w:val="0"/>
          <w:numId w:val="69"/>
        </w:numPr>
      </w:pPr>
      <w:r>
        <w:rPr>
          <w:rFonts w:hint="eastAsia"/>
        </w:rPr>
        <w:t>发现紧急情况，导致地基基础或上部结构出现异常情况已波及围护系统时；</w:t>
      </w:r>
    </w:p>
    <w:p>
      <w:pPr>
        <w:pStyle w:val="178"/>
        <w:numPr>
          <w:ilvl w:val="0"/>
          <w:numId w:val="69"/>
        </w:numPr>
      </w:pPr>
      <w:r>
        <w:rPr>
          <w:rFonts w:hint="eastAsia"/>
        </w:rPr>
        <w:t>发生地震、火灾、风灾、水灾等灾害后进行的使用性检查；</w:t>
      </w:r>
    </w:p>
    <w:p>
      <w:pPr>
        <w:pStyle w:val="178"/>
        <w:numPr>
          <w:ilvl w:val="0"/>
          <w:numId w:val="69"/>
        </w:numPr>
      </w:pPr>
      <w:r>
        <w:rPr>
          <w:rFonts w:hint="eastAsia"/>
        </w:rPr>
        <w:t>有特别重要的任务，须确保房屋在指定期间的正常使用功能时，对围护系统进行的</w:t>
      </w:r>
      <w:r>
        <w:t>以消除渗漏、排水不畅、冷凝结露等为目标的检查。</w:t>
      </w:r>
    </w:p>
    <w:p>
      <w:pPr>
        <w:pStyle w:val="216"/>
      </w:pPr>
      <w:r>
        <w:t>围护分系统的维修</w:t>
      </w:r>
      <w:r>
        <w:rPr>
          <w:rFonts w:hint="eastAsia"/>
        </w:rPr>
        <w:t>根据维修部位分，包括屋面维修、外墙维修、楼地面维修等。根据维修项目性质分，</w:t>
      </w:r>
      <w:r>
        <w:t>包括非结构构件的加固、防水堵漏，裂缝封闭，天沟、水落口清理，面层空鼓、脱落处理，零星渗漏点密封等。</w:t>
      </w:r>
      <w:r>
        <w:rPr>
          <w:rFonts w:hint="eastAsia"/>
        </w:rPr>
        <w:t>本标准在确定维修原则的基础上，选用一部分常见维修工艺作为办公用房维修参考。</w:t>
      </w:r>
    </w:p>
    <w:p>
      <w:pPr>
        <w:pStyle w:val="82"/>
        <w:spacing w:before="156" w:after="156"/>
      </w:pPr>
      <w:bookmarkStart w:id="219" w:name="_Toc2885"/>
      <w:bookmarkStart w:id="220" w:name="_Toc4532"/>
      <w:bookmarkStart w:id="221" w:name="_Toc24486"/>
      <w:bookmarkStart w:id="222" w:name="_Toc21325"/>
      <w:bookmarkStart w:id="223" w:name="_Toc241609813"/>
      <w:bookmarkStart w:id="224" w:name="_Toc11178"/>
      <w:bookmarkStart w:id="225" w:name="_Toc20580"/>
      <w:bookmarkStart w:id="226" w:name="_Toc29001"/>
      <w:bookmarkStart w:id="227" w:name="_Toc241610329"/>
      <w:bookmarkStart w:id="228" w:name="_Toc15185"/>
      <w:bookmarkStart w:id="229" w:name="_Toc13429"/>
      <w:bookmarkStart w:id="230" w:name="_Toc10990"/>
      <w:bookmarkStart w:id="231" w:name="_Toc14419"/>
      <w:bookmarkStart w:id="232" w:name="_Toc11198"/>
      <w:bookmarkStart w:id="233" w:name="_Toc12853"/>
      <w:bookmarkStart w:id="234" w:name="_Toc22818"/>
      <w:r>
        <w:rPr>
          <w:rFonts w:hint="eastAsia"/>
        </w:rPr>
        <w:t>围护结构系统维修</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216"/>
      </w:pPr>
      <w:r>
        <w:rPr>
          <w:rFonts w:hint="eastAsia"/>
        </w:rPr>
        <w:t>办公用房围护结构出现损坏或老化，需要维修时，</w:t>
      </w:r>
      <w:r>
        <w:t>对</w:t>
      </w:r>
      <w:r>
        <w:rPr>
          <w:rFonts w:hint="eastAsia"/>
        </w:rPr>
        <w:t>于局部性、</w:t>
      </w:r>
      <w:r>
        <w:t>不影响重要使用功能的，由使用</w:t>
      </w:r>
      <w:r>
        <w:rPr>
          <w:rFonts w:hint="eastAsia"/>
        </w:rPr>
        <w:t>单位</w:t>
      </w:r>
      <w:r>
        <w:t>组织日常维修。对影响重要使用功能的，委托有资质的</w:t>
      </w:r>
      <w:r>
        <w:rPr>
          <w:rFonts w:hint="eastAsia"/>
        </w:rPr>
        <w:t>设计</w:t>
      </w:r>
      <w:r>
        <w:t>单位出具</w:t>
      </w:r>
      <w:r>
        <w:rPr>
          <w:rFonts w:hint="eastAsia"/>
        </w:rPr>
        <w:t>维修</w:t>
      </w:r>
      <w:r>
        <w:t>意见及处理方案，进行</w:t>
      </w:r>
      <w:r>
        <w:rPr>
          <w:rFonts w:hint="eastAsia"/>
        </w:rPr>
        <w:t>维修。</w:t>
      </w:r>
      <w:r>
        <w:t>处理方案可作为</w:t>
      </w:r>
      <w:r>
        <w:rPr>
          <w:rFonts w:hint="eastAsia"/>
        </w:rPr>
        <w:t>维修</w:t>
      </w:r>
      <w:r>
        <w:t>工程的验收依据。对重要性较高、难度较大及文物项目应进行技术论证和维修方案的经济性比较。</w:t>
      </w:r>
    </w:p>
    <w:p>
      <w:pPr>
        <w:pStyle w:val="216"/>
      </w:pPr>
      <w:r>
        <w:t>对构造措施不满足</w:t>
      </w:r>
      <w:r>
        <w:rPr>
          <w:rFonts w:hint="eastAsia"/>
        </w:rPr>
        <w:t>GB</w:t>
      </w:r>
      <w:r>
        <w:t xml:space="preserve"> 50023的构件可采取局部拆除、降低高度、加固补强等方式处理，加固补强方法可参照</w:t>
      </w:r>
      <w:r>
        <w:rPr>
          <w:rFonts w:hint="eastAsia"/>
        </w:rPr>
        <w:t>GB</w:t>
      </w:r>
      <w:r>
        <w:t xml:space="preserve"> 50702、</w:t>
      </w:r>
      <w:r>
        <w:rPr>
          <w:rFonts w:hint="eastAsia"/>
        </w:rPr>
        <w:t>GB</w:t>
      </w:r>
      <w:r>
        <w:t xml:space="preserve"> 50367有关规定进行。</w:t>
      </w:r>
    </w:p>
    <w:p>
      <w:pPr>
        <w:pStyle w:val="216"/>
      </w:pPr>
      <w:r>
        <w:t>基础或地下工程渗漏时，可按现行行业标准JGJ/T</w:t>
      </w:r>
      <w:r>
        <w:rPr>
          <w:rFonts w:hint="eastAsia"/>
        </w:rPr>
        <w:t xml:space="preserve"> </w:t>
      </w:r>
      <w:r>
        <w:t>212有关规定，采用注浆止水、快速封堵、安装止水带、嵌缝密封、设置刚（柔）性防水层等方法对渗漏情况进行处理。</w:t>
      </w:r>
    </w:p>
    <w:p>
      <w:pPr>
        <w:pStyle w:val="216"/>
      </w:pPr>
      <w:r>
        <w:t>屋面渗漏时，按现行行业标准JGJ/T 53有关规定，采用设置卷材（涂膜）防水层、重新施工泛水</w:t>
      </w:r>
      <w:r>
        <w:rPr>
          <w:rFonts w:hint="eastAsia"/>
        </w:rPr>
        <w:t>、砼局部</w:t>
      </w:r>
      <w:r>
        <w:t>注浆止水等方法对渗漏情况进行处理。</w:t>
      </w:r>
      <w:r>
        <w:rPr>
          <w:rFonts w:hint="eastAsia"/>
        </w:rPr>
        <w:t>使用</w:t>
      </w:r>
      <w:r>
        <w:t>卷材（涂膜）</w:t>
      </w:r>
      <w:r>
        <w:rPr>
          <w:rFonts w:hint="eastAsia"/>
        </w:rPr>
        <w:t>等柔性防水层时，在现场施工条件许可的情况下，应设置细石砼刚性防水层或钢丝网砂浆保护层等措施进行表层保护，提高防水层使用寿命。</w:t>
      </w:r>
    </w:p>
    <w:p>
      <w:pPr>
        <w:pStyle w:val="216"/>
      </w:pPr>
      <w:r>
        <w:t>对屋面找平层、保温层(隔热层)、卷材及涂膜防水层、保护层和隔离层、接缝密封防水、瓦屋面、金属板屋面、玻璃采光顶的维修施工可按</w:t>
      </w:r>
      <w:r>
        <w:rPr>
          <w:rFonts w:hint="eastAsia"/>
        </w:rPr>
        <w:t>GB</w:t>
      </w:r>
      <w:r>
        <w:t xml:space="preserve"> 50345执行。</w:t>
      </w:r>
    </w:p>
    <w:p>
      <w:pPr>
        <w:pStyle w:val="216"/>
      </w:pPr>
      <w:r>
        <w:t>墙体抗渗性能不足导致渗漏时</w:t>
      </w:r>
      <w:r>
        <w:rPr>
          <w:rFonts w:hint="eastAsia"/>
        </w:rPr>
        <w:t>，</w:t>
      </w:r>
      <w:r>
        <w:t>可按JGJ/T 53有关规定，采用提高外墙饰面防水能力、设置卷材（涂膜）防水层、墙面勾缝、</w:t>
      </w:r>
      <w:r>
        <w:rPr>
          <w:rFonts w:hint="eastAsia"/>
        </w:rPr>
        <w:t>（万可涂）等涂膜防水、</w:t>
      </w:r>
      <w:r>
        <w:t>裂缝注胶或更换墙体材料等方法处理。</w:t>
      </w:r>
    </w:p>
    <w:p>
      <w:pPr>
        <w:pStyle w:val="216"/>
      </w:pPr>
      <w:r>
        <w:t>墙体存在风化、起酥、空鼓等时，彻底清除表面酥松层，采用高强、抗裂、耐候性能良好的材料修补</w:t>
      </w:r>
      <w:r>
        <w:rPr>
          <w:rFonts w:hint="eastAsia"/>
        </w:rPr>
        <w:t>。外墙漆墙面开裂、起鼓时，</w:t>
      </w:r>
      <w:r>
        <w:t>清除</w:t>
      </w:r>
      <w:r>
        <w:rPr>
          <w:rFonts w:hint="eastAsia"/>
        </w:rPr>
        <w:t>表面</w:t>
      </w:r>
      <w:r>
        <w:t>酥松层</w:t>
      </w:r>
      <w:r>
        <w:rPr>
          <w:rFonts w:hint="eastAsia"/>
        </w:rPr>
        <w:t>后</w:t>
      </w:r>
      <w:r>
        <w:t>，</w:t>
      </w:r>
      <w:r>
        <w:rPr>
          <w:rFonts w:hint="eastAsia"/>
        </w:rPr>
        <w:t>应作基层处理，刷涂墙固等增加附着力的材料，腻子层增加玻璃纤维网格布等抗裂材料</w:t>
      </w:r>
      <w:r>
        <w:t>。</w:t>
      </w:r>
    </w:p>
    <w:p>
      <w:pPr>
        <w:pStyle w:val="216"/>
      </w:pPr>
      <w:r>
        <w:t>厕浴间等部位楼面存在渗漏时，可按JGJ/T 53有关规定，采用设置卷材（涂膜）防水层、设置聚合物水泥砂浆防水层、压力注胶、填充密封、粘贴纤维防水材料等方法进行处理。</w:t>
      </w:r>
      <w:r>
        <w:rPr>
          <w:rFonts w:hint="eastAsia"/>
        </w:rPr>
        <w:t>无法防治到位的，应全面开仓，重新设置防水层。重新设置的防水层应采用双层不同材料的防水层，防水层上应设置保护层。</w:t>
      </w:r>
    </w:p>
    <w:p>
      <w:pPr>
        <w:pStyle w:val="216"/>
      </w:pPr>
      <w:r>
        <w:t>管道与屋面、墙面交接处，可采用密封材料嵌缝处理；热力管道与墙面交接处，可埋设套管并用速凝材料填充。</w:t>
      </w:r>
    </w:p>
    <w:p>
      <w:pPr>
        <w:pStyle w:val="216"/>
      </w:pPr>
      <w:r>
        <w:t>对围护分系统的裂缝处理可采用表面封闭、压力注胶、填充密封、粘贴纤维材料等方法进行处理。</w:t>
      </w:r>
    </w:p>
    <w:p>
      <w:pPr>
        <w:pStyle w:val="216"/>
      </w:pPr>
      <w:r>
        <w:t>雨</w:t>
      </w:r>
      <w:r>
        <w:rPr>
          <w:rFonts w:hint="eastAsia"/>
        </w:rPr>
        <w:t>期</w:t>
      </w:r>
      <w:r>
        <w:t>进行屋面、外墙修缮施工</w:t>
      </w:r>
      <w:r>
        <w:rPr>
          <w:rFonts w:hint="eastAsia"/>
        </w:rPr>
        <w:t>时，</w:t>
      </w:r>
      <w:r>
        <w:t>应采取防雨遮盖和排水措施，冬</w:t>
      </w:r>
      <w:r>
        <w:rPr>
          <w:rFonts w:hint="eastAsia"/>
        </w:rPr>
        <w:t>季</w:t>
      </w:r>
      <w:r>
        <w:t>施工</w:t>
      </w:r>
      <w:r>
        <w:rPr>
          <w:rFonts w:hint="eastAsia"/>
        </w:rPr>
        <w:t>时</w:t>
      </w:r>
      <w:r>
        <w:t>应采取防冻保温措施。</w:t>
      </w:r>
    </w:p>
    <w:p>
      <w:pPr>
        <w:pStyle w:val="216"/>
      </w:pPr>
      <w:r>
        <w:rPr>
          <w:rFonts w:hint="eastAsia"/>
        </w:rPr>
        <w:t>若综合</w:t>
      </w:r>
      <w:r>
        <w:t>维修</w:t>
      </w:r>
      <w:r>
        <w:rPr>
          <w:rFonts w:hint="eastAsia"/>
        </w:rPr>
        <w:t>仍</w:t>
      </w:r>
      <w:r>
        <w:t>无法保证使用安全及功能时，可采取整体更新措施。整体更新宜采用成熟的技术、性能良好的材料，并考虑提升节能效果，改善使用功能。</w:t>
      </w:r>
    </w:p>
    <w:p>
      <w:pPr>
        <w:pStyle w:val="216"/>
      </w:pPr>
      <w:r>
        <w:rPr>
          <w:rFonts w:hint="eastAsia"/>
        </w:rPr>
        <w:t>围护结构维修</w:t>
      </w:r>
      <w:r>
        <w:t>经检查评定为</w:t>
      </w:r>
      <w:r>
        <w:rPr>
          <w:rFonts w:hint="eastAsia"/>
        </w:rPr>
        <w:t>维修</w:t>
      </w:r>
      <w:r>
        <w:t>后，应编制</w:t>
      </w:r>
      <w:r>
        <w:rPr>
          <w:rFonts w:hint="eastAsia"/>
        </w:rPr>
        <w:t>维修</w:t>
      </w:r>
      <w:r>
        <w:t>方案。</w:t>
      </w:r>
      <w:r>
        <w:rPr>
          <w:rFonts w:hint="eastAsia"/>
        </w:rPr>
        <w:t>维修方案</w:t>
      </w:r>
      <w:r>
        <w:t>至少应包括以下内容：</w:t>
      </w:r>
    </w:p>
    <w:p>
      <w:pPr>
        <w:pStyle w:val="178"/>
        <w:numPr>
          <w:ilvl w:val="0"/>
          <w:numId w:val="70"/>
        </w:numPr>
      </w:pPr>
      <w:r>
        <w:rPr>
          <w:rFonts w:hint="eastAsia"/>
        </w:rPr>
        <w:t>建筑物的基本概况，包括建筑面积、建造年代、总高度以及平面布置等；</w:t>
      </w:r>
    </w:p>
    <w:p>
      <w:pPr>
        <w:pStyle w:val="178"/>
        <w:numPr>
          <w:ilvl w:val="0"/>
          <w:numId w:val="70"/>
        </w:numPr>
      </w:pPr>
      <w:r>
        <w:rPr>
          <w:rFonts w:hint="eastAsia"/>
        </w:rPr>
        <w:t>围护分系统现状描述，如屋面形式、屋面做法、防水类别、构造连接措施、内外墙饰面做法、填充墙体材料、门窗品种、厕浴间地面及墙面防水做法、基础底板防水等级及抗渗等级等；</w:t>
      </w:r>
    </w:p>
    <w:p>
      <w:pPr>
        <w:pStyle w:val="178"/>
        <w:numPr>
          <w:ilvl w:val="0"/>
          <w:numId w:val="70"/>
        </w:numPr>
      </w:pPr>
      <w:r>
        <w:rPr>
          <w:rFonts w:hint="eastAsia"/>
        </w:rPr>
        <w:t>围护分系统的检查与评定结果，包括检查内容和检查结果；</w:t>
      </w:r>
    </w:p>
    <w:p>
      <w:pPr>
        <w:pStyle w:val="178"/>
        <w:numPr>
          <w:ilvl w:val="0"/>
          <w:numId w:val="70"/>
        </w:numPr>
      </w:pPr>
      <w:r>
        <w:rPr>
          <w:rFonts w:hint="eastAsia"/>
        </w:rPr>
        <w:t>围护分系统维修的可行性方案；</w:t>
      </w:r>
    </w:p>
    <w:p>
      <w:pPr>
        <w:pStyle w:val="178"/>
        <w:numPr>
          <w:ilvl w:val="0"/>
          <w:numId w:val="70"/>
        </w:numPr>
      </w:pPr>
      <w:r>
        <w:rPr>
          <w:rFonts w:hint="eastAsia"/>
        </w:rPr>
        <w:t>维修加固方案，包括维修改造内容、初步设计方案、需加固的构件部位、加固方法、</w:t>
      </w:r>
      <w:r>
        <w:t>材料、设备、施工周期、施工安全措施、维修概算等。</w:t>
      </w:r>
    </w:p>
    <w:p>
      <w:pPr>
        <w:pStyle w:val="82"/>
        <w:spacing w:before="156" w:after="156"/>
      </w:pPr>
      <w:bookmarkStart w:id="235" w:name="_Toc4470"/>
      <w:bookmarkStart w:id="236" w:name="_Toc6380"/>
      <w:bookmarkStart w:id="237" w:name="_Toc241609814"/>
      <w:bookmarkStart w:id="238" w:name="_Toc241610330"/>
      <w:bookmarkStart w:id="239" w:name="_Toc7282"/>
      <w:r>
        <w:rPr>
          <w:rFonts w:hint="eastAsia"/>
        </w:rPr>
        <w:t>围护结构系统维修验收</w:t>
      </w:r>
      <w:bookmarkEnd w:id="235"/>
      <w:bookmarkEnd w:id="236"/>
      <w:bookmarkEnd w:id="237"/>
      <w:bookmarkEnd w:id="238"/>
      <w:bookmarkEnd w:id="239"/>
    </w:p>
    <w:p>
      <w:pPr>
        <w:pStyle w:val="216"/>
      </w:pPr>
      <w:r>
        <w:rPr>
          <w:rFonts w:hint="eastAsia"/>
        </w:rPr>
        <w:t>办公用房围护结构维修的质量检验和验收执行下列标准：</w:t>
      </w:r>
    </w:p>
    <w:p>
      <w:pPr>
        <w:pStyle w:val="178"/>
        <w:numPr>
          <w:ilvl w:val="0"/>
          <w:numId w:val="71"/>
        </w:numPr>
      </w:pPr>
      <w:r>
        <w:rPr>
          <w:rFonts w:hint="eastAsia"/>
        </w:rPr>
        <w:t>地下防水维修验收参照GB 50208规定；</w:t>
      </w:r>
    </w:p>
    <w:p>
      <w:pPr>
        <w:pStyle w:val="178"/>
        <w:numPr>
          <w:ilvl w:val="0"/>
          <w:numId w:val="71"/>
        </w:numPr>
      </w:pPr>
      <w:r>
        <w:rPr>
          <w:rFonts w:hint="eastAsia"/>
        </w:rPr>
        <w:t>屋面维修验收参照GB 50207规定；</w:t>
      </w:r>
    </w:p>
    <w:p>
      <w:pPr>
        <w:pStyle w:val="178"/>
        <w:numPr>
          <w:ilvl w:val="0"/>
          <w:numId w:val="71"/>
        </w:numPr>
      </w:pPr>
      <w:r>
        <w:rPr>
          <w:rFonts w:hint="eastAsia"/>
        </w:rPr>
        <w:t>裂缝处理验收参照GB 50550规定；</w:t>
      </w:r>
    </w:p>
    <w:p>
      <w:pPr>
        <w:pStyle w:val="178"/>
        <w:numPr>
          <w:ilvl w:val="0"/>
          <w:numId w:val="71"/>
        </w:numPr>
      </w:pPr>
      <w:r>
        <w:rPr>
          <w:rFonts w:hint="eastAsia"/>
        </w:rPr>
        <w:t>厕浴间楼面渗漏维修验收时可做24小时的闭水试验。</w:t>
      </w:r>
    </w:p>
    <w:p>
      <w:pPr>
        <w:pStyle w:val="216"/>
      </w:pPr>
      <w:r>
        <w:rPr>
          <w:rFonts w:hint="eastAsia"/>
        </w:rPr>
        <w:t>维修材料的性能应满足环保要求，按规定进行进场检验、抽样复检，维修验收时应具有下列资料：</w:t>
      </w:r>
    </w:p>
    <w:p>
      <w:pPr>
        <w:pStyle w:val="178"/>
        <w:numPr>
          <w:ilvl w:val="0"/>
          <w:numId w:val="72"/>
        </w:numPr>
      </w:pPr>
      <w:r>
        <w:rPr>
          <w:rFonts w:hint="eastAsia"/>
        </w:rPr>
        <w:t>设计方案、图纸会审、设计变更、洽商记录；</w:t>
      </w:r>
    </w:p>
    <w:p>
      <w:pPr>
        <w:pStyle w:val="178"/>
        <w:numPr>
          <w:ilvl w:val="0"/>
          <w:numId w:val="72"/>
        </w:numPr>
      </w:pPr>
      <w:r>
        <w:rPr>
          <w:rFonts w:hint="eastAsia"/>
        </w:rPr>
        <w:t>项目施工单位的资质证书，主要操作人员上岗证；</w:t>
      </w:r>
    </w:p>
    <w:p>
      <w:pPr>
        <w:pStyle w:val="178"/>
        <w:numPr>
          <w:ilvl w:val="0"/>
          <w:numId w:val="72"/>
        </w:numPr>
      </w:pPr>
      <w:r>
        <w:rPr>
          <w:rFonts w:hint="eastAsia"/>
        </w:rPr>
        <w:t>施工方案及技术、安全交底；</w:t>
      </w:r>
    </w:p>
    <w:p>
      <w:pPr>
        <w:pStyle w:val="178"/>
        <w:numPr>
          <w:ilvl w:val="0"/>
          <w:numId w:val="72"/>
        </w:numPr>
      </w:pPr>
      <w:r>
        <w:rPr>
          <w:rFonts w:hint="eastAsia"/>
        </w:rPr>
        <w:t>材料的产品合格证、质保书、检验报告；</w:t>
      </w:r>
    </w:p>
    <w:p>
      <w:pPr>
        <w:pStyle w:val="178"/>
        <w:numPr>
          <w:ilvl w:val="0"/>
          <w:numId w:val="72"/>
        </w:numPr>
      </w:pPr>
      <w:r>
        <w:rPr>
          <w:rFonts w:hint="eastAsia"/>
        </w:rPr>
        <w:t>质量验收记录，检测报告。</w:t>
      </w:r>
    </w:p>
    <w:p>
      <w:pPr>
        <w:pStyle w:val="60"/>
        <w:ind w:firstLine="420"/>
        <w:sectPr>
          <w:pgSz w:w="11906" w:h="16838"/>
          <w:pgMar w:top="1928" w:right="1134" w:bottom="1134" w:left="1134" w:header="1418" w:footer="1134" w:gutter="284"/>
          <w:cols w:space="425" w:num="1"/>
          <w:formProt w:val="0"/>
          <w:docGrid w:type="lines" w:linePitch="312" w:charSpace="0"/>
        </w:sectPr>
      </w:pPr>
    </w:p>
    <w:p>
      <w:pPr>
        <w:pStyle w:val="202"/>
        <w:rPr>
          <w:rFonts w:hint="eastAsia"/>
        </w:rPr>
      </w:pPr>
    </w:p>
    <w:p>
      <w:pPr>
        <w:pStyle w:val="203"/>
      </w:pPr>
    </w:p>
    <w:p>
      <w:pPr>
        <w:pStyle w:val="80"/>
        <w:spacing w:before="78" w:after="156"/>
      </w:pPr>
      <w:bookmarkStart w:id="240" w:name="_Toc11348"/>
      <w:r>
        <w:rPr>
          <w:rFonts w:hint="eastAsia"/>
        </w:rPr>
        <w:br w:type="textWrapping"/>
      </w:r>
      <w:bookmarkStart w:id="241" w:name="_Toc241609815"/>
      <w:bookmarkStart w:id="242" w:name="_Toc241610331"/>
      <w:r>
        <w:rPr>
          <w:rFonts w:hint="eastAsia"/>
        </w:rPr>
        <w:t>（规范性）</w:t>
      </w:r>
      <w:r>
        <w:rPr>
          <w:rFonts w:hint="eastAsia"/>
        </w:rPr>
        <w:br w:type="textWrapping"/>
      </w:r>
      <w:r>
        <w:rPr>
          <w:rFonts w:hint="eastAsia"/>
        </w:rPr>
        <w:t>装饰装修系统检查、维修与验收技术要求</w:t>
      </w:r>
      <w:bookmarkEnd w:id="240"/>
      <w:bookmarkEnd w:id="241"/>
      <w:bookmarkEnd w:id="242"/>
    </w:p>
    <w:p>
      <w:pPr>
        <w:pStyle w:val="82"/>
        <w:spacing w:before="156" w:after="156"/>
      </w:pPr>
      <w:bookmarkStart w:id="243" w:name="_Toc404932196"/>
      <w:bookmarkStart w:id="244" w:name="_Toc400615438"/>
      <w:bookmarkStart w:id="245" w:name="_Toc404929795"/>
      <w:bookmarkStart w:id="246" w:name="_Toc441240370"/>
      <w:bookmarkStart w:id="247" w:name="_Toc28687"/>
      <w:bookmarkStart w:id="248" w:name="_Toc20375"/>
      <w:bookmarkStart w:id="249" w:name="_Toc241610332"/>
      <w:bookmarkStart w:id="250" w:name="_Toc16275"/>
      <w:bookmarkStart w:id="251" w:name="_Toc20979"/>
      <w:bookmarkStart w:id="252" w:name="_Toc17401"/>
      <w:bookmarkStart w:id="253" w:name="_Toc25207"/>
      <w:bookmarkStart w:id="254" w:name="_Toc10863"/>
      <w:bookmarkStart w:id="255" w:name="_Toc241609816"/>
      <w:bookmarkStart w:id="256" w:name="_Toc17500"/>
      <w:bookmarkStart w:id="257" w:name="_Toc20348"/>
      <w:bookmarkStart w:id="258" w:name="_Toc24849"/>
      <w:bookmarkStart w:id="259" w:name="_Toc647"/>
      <w:bookmarkStart w:id="260" w:name="_Toc21996"/>
      <w:bookmarkStart w:id="261" w:name="_Toc14604"/>
      <w:bookmarkStart w:id="262" w:name="_Toc8020"/>
      <w:r>
        <w:t>一般规定</w:t>
      </w:r>
      <w:bookmarkEnd w:id="243"/>
      <w:bookmarkEnd w:id="244"/>
      <w:bookmarkEnd w:id="245"/>
      <w:bookmarkEnd w:id="246"/>
      <w:r>
        <w:rPr>
          <w:rFonts w:hint="eastAsia"/>
        </w:rPr>
        <w:t>和检查</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216"/>
      </w:pPr>
      <w:r>
        <w:t>办公用房装饰装修系统设计</w:t>
      </w:r>
      <w:r>
        <w:rPr>
          <w:rFonts w:hint="eastAsia"/>
        </w:rPr>
        <w:t>和</w:t>
      </w:r>
      <w:r>
        <w:t>施工质量</w:t>
      </w:r>
      <w:r>
        <w:rPr>
          <w:rFonts w:hint="eastAsia"/>
        </w:rPr>
        <w:t>的</w:t>
      </w:r>
      <w:r>
        <w:t>预期正常使用年限应满足</w:t>
      </w:r>
      <w:r>
        <w:rPr>
          <w:rFonts w:hint="eastAsia"/>
        </w:rPr>
        <w:t>表C.1</w:t>
      </w:r>
      <w:r>
        <w:t>规定</w:t>
      </w:r>
      <w:r>
        <w:rPr>
          <w:rFonts w:hint="eastAsia"/>
        </w:rPr>
        <w:t>：</w:t>
      </w:r>
    </w:p>
    <w:p>
      <w:pPr>
        <w:pStyle w:val="81"/>
        <w:spacing w:before="156" w:after="156"/>
      </w:pPr>
      <w:r>
        <w:rPr>
          <w:rFonts w:hint="eastAsia"/>
        </w:rPr>
        <w:t>办公用房装饰装修系统预期正常使用年限一览表</w:t>
      </w:r>
    </w:p>
    <w:tbl>
      <w:tblPr>
        <w:tblStyle w:val="29"/>
        <w:tblW w:w="956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856"/>
        <w:gridCol w:w="1706"/>
        <w:gridCol w:w="700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856" w:type="dxa"/>
            <w:tcBorders>
              <w:bottom w:val="single" w:color="auto" w:sz="8" w:space="0"/>
            </w:tcBorders>
            <w:vAlign w:val="center"/>
          </w:tcPr>
          <w:p>
            <w:pPr>
              <w:jc w:val="center"/>
            </w:pPr>
            <w:r>
              <w:t>序号</w:t>
            </w:r>
          </w:p>
        </w:tc>
        <w:tc>
          <w:tcPr>
            <w:tcW w:w="1706" w:type="dxa"/>
            <w:tcBorders>
              <w:bottom w:val="single" w:color="auto" w:sz="8" w:space="0"/>
            </w:tcBorders>
            <w:vAlign w:val="center"/>
          </w:tcPr>
          <w:p>
            <w:pPr>
              <w:jc w:val="center"/>
            </w:pPr>
            <w:r>
              <w:t>子系统名称</w:t>
            </w:r>
          </w:p>
        </w:tc>
        <w:tc>
          <w:tcPr>
            <w:tcW w:w="7000" w:type="dxa"/>
            <w:tcBorders>
              <w:bottom w:val="single" w:color="auto" w:sz="8" w:space="0"/>
            </w:tcBorders>
            <w:vAlign w:val="center"/>
          </w:tcPr>
          <w:p>
            <w:pPr>
              <w:jc w:val="center"/>
            </w:pPr>
            <w:r>
              <w:t>最低使用年限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56" w:type="dxa"/>
            <w:tcBorders>
              <w:top w:val="single" w:color="auto" w:sz="8" w:space="0"/>
            </w:tcBorders>
            <w:vAlign w:val="center"/>
          </w:tcPr>
          <w:p>
            <w:pPr>
              <w:jc w:val="center"/>
            </w:pPr>
            <w:r>
              <w:t>1</w:t>
            </w:r>
          </w:p>
        </w:tc>
        <w:tc>
          <w:tcPr>
            <w:tcW w:w="1706" w:type="dxa"/>
            <w:tcBorders>
              <w:top w:val="single" w:color="auto" w:sz="8" w:space="0"/>
            </w:tcBorders>
            <w:vAlign w:val="center"/>
          </w:tcPr>
          <w:p>
            <w:pPr>
              <w:jc w:val="center"/>
            </w:pPr>
            <w:r>
              <w:t>抹灰工程</w:t>
            </w:r>
          </w:p>
        </w:tc>
        <w:tc>
          <w:tcPr>
            <w:tcW w:w="7000" w:type="dxa"/>
            <w:tcBorders>
              <w:top w:val="single" w:color="auto" w:sz="8" w:space="0"/>
            </w:tcBorders>
            <w:vAlign w:val="center"/>
          </w:tcPr>
          <w:p>
            <w:pPr>
              <w:jc w:val="center"/>
              <w:rPr>
                <w:rFonts w:ascii="宋体" w:hAnsi="宋体" w:cs="宋体"/>
              </w:rPr>
            </w:pPr>
            <w:r>
              <w:rPr>
                <w:rFonts w:hint="eastAsia" w:ascii="宋体" w:hAnsi="宋体" w:cs="宋体"/>
              </w:rPr>
              <w:t>12年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56" w:type="dxa"/>
            <w:vAlign w:val="center"/>
          </w:tcPr>
          <w:p>
            <w:pPr>
              <w:jc w:val="center"/>
            </w:pPr>
            <w:r>
              <w:t>2</w:t>
            </w:r>
          </w:p>
        </w:tc>
        <w:tc>
          <w:tcPr>
            <w:tcW w:w="1706" w:type="dxa"/>
            <w:vAlign w:val="center"/>
          </w:tcPr>
          <w:p>
            <w:pPr>
              <w:jc w:val="center"/>
            </w:pPr>
            <w:r>
              <w:t>门窗工程</w:t>
            </w:r>
          </w:p>
        </w:tc>
        <w:tc>
          <w:tcPr>
            <w:tcW w:w="7000" w:type="dxa"/>
            <w:vAlign w:val="center"/>
          </w:tcPr>
          <w:p>
            <w:pPr>
              <w:jc w:val="center"/>
              <w:rPr>
                <w:rFonts w:ascii="宋体" w:hAnsi="宋体" w:cs="宋体"/>
              </w:rPr>
            </w:pPr>
            <w:r>
              <w:rPr>
                <w:rFonts w:hint="eastAsia" w:ascii="宋体" w:hAnsi="宋体" w:cs="宋体"/>
              </w:rPr>
              <w:t>12年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856" w:type="dxa"/>
            <w:vAlign w:val="center"/>
          </w:tcPr>
          <w:p>
            <w:pPr>
              <w:jc w:val="center"/>
            </w:pPr>
            <w:r>
              <w:t>3</w:t>
            </w:r>
          </w:p>
        </w:tc>
        <w:tc>
          <w:tcPr>
            <w:tcW w:w="1706" w:type="dxa"/>
            <w:vAlign w:val="center"/>
          </w:tcPr>
          <w:p>
            <w:pPr>
              <w:jc w:val="center"/>
            </w:pPr>
            <w:r>
              <w:t>吊顶工程</w:t>
            </w:r>
          </w:p>
        </w:tc>
        <w:tc>
          <w:tcPr>
            <w:tcW w:w="7000" w:type="dxa"/>
            <w:vAlign w:val="center"/>
          </w:tcPr>
          <w:p>
            <w:pPr>
              <w:jc w:val="center"/>
              <w:rPr>
                <w:rFonts w:ascii="宋体" w:hAnsi="宋体" w:cs="宋体"/>
              </w:rPr>
            </w:pPr>
            <w:r>
              <w:rPr>
                <w:rFonts w:hint="eastAsia" w:ascii="宋体" w:hAnsi="宋体" w:cs="宋体"/>
              </w:rPr>
              <w:t>6年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56" w:type="dxa"/>
            <w:vAlign w:val="center"/>
          </w:tcPr>
          <w:p>
            <w:pPr>
              <w:jc w:val="center"/>
            </w:pPr>
            <w:r>
              <w:t>4</w:t>
            </w:r>
          </w:p>
        </w:tc>
        <w:tc>
          <w:tcPr>
            <w:tcW w:w="1706" w:type="dxa"/>
            <w:vAlign w:val="center"/>
          </w:tcPr>
          <w:p>
            <w:pPr>
              <w:jc w:val="center"/>
            </w:pPr>
            <w:r>
              <w:t>轻质隔墙工程</w:t>
            </w:r>
          </w:p>
        </w:tc>
        <w:tc>
          <w:tcPr>
            <w:tcW w:w="7000" w:type="dxa"/>
            <w:vAlign w:val="center"/>
          </w:tcPr>
          <w:p>
            <w:pPr>
              <w:jc w:val="center"/>
              <w:rPr>
                <w:rFonts w:ascii="宋体" w:hAnsi="宋体" w:cs="宋体"/>
              </w:rPr>
            </w:pPr>
            <w:r>
              <w:rPr>
                <w:rFonts w:hint="eastAsia" w:ascii="宋体" w:hAnsi="宋体" w:cs="宋体"/>
              </w:rPr>
              <w:t>12年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56" w:type="dxa"/>
            <w:vAlign w:val="center"/>
          </w:tcPr>
          <w:p>
            <w:pPr>
              <w:jc w:val="center"/>
            </w:pPr>
            <w:r>
              <w:t>5</w:t>
            </w:r>
          </w:p>
        </w:tc>
        <w:tc>
          <w:tcPr>
            <w:tcW w:w="1706" w:type="dxa"/>
            <w:vAlign w:val="center"/>
          </w:tcPr>
          <w:p>
            <w:pPr>
              <w:jc w:val="center"/>
            </w:pPr>
            <w:r>
              <w:t>饰面板安装工程</w:t>
            </w:r>
          </w:p>
        </w:tc>
        <w:tc>
          <w:tcPr>
            <w:tcW w:w="7000" w:type="dxa"/>
            <w:vAlign w:val="center"/>
          </w:tcPr>
          <w:p>
            <w:pPr>
              <w:jc w:val="center"/>
              <w:rPr>
                <w:rFonts w:ascii="宋体" w:hAnsi="宋体" w:cs="宋体"/>
              </w:rPr>
            </w:pPr>
            <w:r>
              <w:rPr>
                <w:rFonts w:hint="eastAsia" w:ascii="宋体" w:hAnsi="宋体" w:cs="宋体"/>
              </w:rPr>
              <w:t>12年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56" w:type="dxa"/>
            <w:vAlign w:val="center"/>
          </w:tcPr>
          <w:p>
            <w:pPr>
              <w:jc w:val="center"/>
            </w:pPr>
            <w:r>
              <w:t>6</w:t>
            </w:r>
          </w:p>
        </w:tc>
        <w:tc>
          <w:tcPr>
            <w:tcW w:w="1706" w:type="dxa"/>
            <w:vAlign w:val="center"/>
          </w:tcPr>
          <w:p>
            <w:pPr>
              <w:jc w:val="center"/>
            </w:pPr>
            <w:r>
              <w:t>饰面砖粘贴工程</w:t>
            </w:r>
          </w:p>
        </w:tc>
        <w:tc>
          <w:tcPr>
            <w:tcW w:w="7000" w:type="dxa"/>
            <w:vAlign w:val="center"/>
          </w:tcPr>
          <w:p>
            <w:pPr>
              <w:jc w:val="center"/>
              <w:rPr>
                <w:rFonts w:ascii="宋体" w:hAnsi="宋体" w:cs="宋体"/>
              </w:rPr>
            </w:pPr>
            <w:r>
              <w:rPr>
                <w:rFonts w:hint="eastAsia" w:ascii="宋体" w:hAnsi="宋体" w:cs="宋体"/>
              </w:rPr>
              <w:t>12年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856" w:type="dxa"/>
            <w:vAlign w:val="center"/>
          </w:tcPr>
          <w:p>
            <w:pPr>
              <w:jc w:val="center"/>
            </w:pPr>
            <w:r>
              <w:t>7</w:t>
            </w:r>
          </w:p>
        </w:tc>
        <w:tc>
          <w:tcPr>
            <w:tcW w:w="1706" w:type="dxa"/>
            <w:vAlign w:val="center"/>
          </w:tcPr>
          <w:p>
            <w:pPr>
              <w:jc w:val="center"/>
            </w:pPr>
            <w:r>
              <w:t>幕墙工程</w:t>
            </w:r>
          </w:p>
        </w:tc>
        <w:tc>
          <w:tcPr>
            <w:tcW w:w="7000" w:type="dxa"/>
            <w:vAlign w:val="center"/>
          </w:tcPr>
          <w:p>
            <w:pPr>
              <w:jc w:val="center"/>
              <w:rPr>
                <w:rFonts w:ascii="宋体" w:hAnsi="宋体" w:cs="宋体"/>
              </w:rPr>
            </w:pPr>
            <w:r>
              <w:rPr>
                <w:rFonts w:hint="eastAsia" w:ascii="宋体" w:hAnsi="宋体" w:cs="宋体"/>
              </w:rPr>
              <w:t>12年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56" w:type="dxa"/>
            <w:vAlign w:val="center"/>
          </w:tcPr>
          <w:p>
            <w:pPr>
              <w:jc w:val="center"/>
            </w:pPr>
            <w:r>
              <w:t>8</w:t>
            </w:r>
          </w:p>
        </w:tc>
        <w:tc>
          <w:tcPr>
            <w:tcW w:w="1706" w:type="dxa"/>
            <w:vAlign w:val="center"/>
          </w:tcPr>
          <w:p>
            <w:pPr>
              <w:jc w:val="center"/>
            </w:pPr>
            <w:r>
              <w:t>涂饰工程</w:t>
            </w:r>
          </w:p>
        </w:tc>
        <w:tc>
          <w:tcPr>
            <w:tcW w:w="7000" w:type="dxa"/>
            <w:vAlign w:val="center"/>
          </w:tcPr>
          <w:p>
            <w:pPr>
              <w:jc w:val="center"/>
              <w:rPr>
                <w:rFonts w:ascii="宋体" w:hAnsi="宋体" w:cs="宋体"/>
              </w:rPr>
            </w:pPr>
            <w:r>
              <w:rPr>
                <w:rFonts w:hint="eastAsia" w:ascii="宋体" w:hAnsi="宋体" w:cs="宋体"/>
              </w:rPr>
              <w:t>6年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56" w:type="dxa"/>
            <w:vAlign w:val="center"/>
          </w:tcPr>
          <w:p>
            <w:pPr>
              <w:jc w:val="center"/>
            </w:pPr>
            <w:r>
              <w:t>9</w:t>
            </w:r>
          </w:p>
        </w:tc>
        <w:tc>
          <w:tcPr>
            <w:tcW w:w="1706" w:type="dxa"/>
            <w:vAlign w:val="center"/>
          </w:tcPr>
          <w:p>
            <w:pPr>
              <w:jc w:val="center"/>
            </w:pPr>
            <w:r>
              <w:t>裱糊与软包工程</w:t>
            </w:r>
          </w:p>
        </w:tc>
        <w:tc>
          <w:tcPr>
            <w:tcW w:w="7000" w:type="dxa"/>
            <w:vAlign w:val="center"/>
          </w:tcPr>
          <w:p>
            <w:pPr>
              <w:jc w:val="center"/>
              <w:rPr>
                <w:rFonts w:ascii="宋体" w:hAnsi="宋体" w:cs="宋体"/>
              </w:rPr>
            </w:pPr>
            <w:r>
              <w:rPr>
                <w:rFonts w:hint="eastAsia" w:ascii="宋体" w:hAnsi="宋体" w:cs="宋体"/>
              </w:rPr>
              <w:t>6年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56" w:type="dxa"/>
            <w:vAlign w:val="center"/>
          </w:tcPr>
          <w:p>
            <w:pPr>
              <w:jc w:val="center"/>
            </w:pPr>
            <w:r>
              <w:t>10</w:t>
            </w:r>
          </w:p>
        </w:tc>
        <w:tc>
          <w:tcPr>
            <w:tcW w:w="1706" w:type="dxa"/>
            <w:vAlign w:val="center"/>
          </w:tcPr>
          <w:p>
            <w:pPr>
              <w:jc w:val="center"/>
            </w:pPr>
            <w:r>
              <w:t>细部工程</w:t>
            </w:r>
          </w:p>
        </w:tc>
        <w:tc>
          <w:tcPr>
            <w:tcW w:w="7000" w:type="dxa"/>
            <w:vAlign w:val="center"/>
          </w:tcPr>
          <w:p>
            <w:pPr>
              <w:jc w:val="center"/>
              <w:rPr>
                <w:rFonts w:ascii="宋体" w:hAnsi="宋体" w:cs="宋体"/>
              </w:rPr>
            </w:pPr>
            <w:r>
              <w:rPr>
                <w:rFonts w:hint="eastAsia" w:ascii="宋体" w:hAnsi="宋体" w:cs="宋体"/>
              </w:rPr>
              <w:t>6年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856" w:type="dxa"/>
            <w:vAlign w:val="center"/>
          </w:tcPr>
          <w:p>
            <w:pPr>
              <w:jc w:val="center"/>
            </w:pPr>
            <w:r>
              <w:t>11</w:t>
            </w:r>
          </w:p>
        </w:tc>
        <w:tc>
          <w:tcPr>
            <w:tcW w:w="1706" w:type="dxa"/>
            <w:vAlign w:val="center"/>
          </w:tcPr>
          <w:p>
            <w:pPr>
              <w:jc w:val="center"/>
            </w:pPr>
            <w:r>
              <w:t>地面工程</w:t>
            </w:r>
          </w:p>
        </w:tc>
        <w:tc>
          <w:tcPr>
            <w:tcW w:w="7000" w:type="dxa"/>
            <w:vAlign w:val="center"/>
          </w:tcPr>
          <w:p>
            <w:pPr>
              <w:rPr>
                <w:rFonts w:hint="eastAsia" w:ascii="仿宋" w:hAnsi="仿宋" w:eastAsia="仿宋" w:cs="仿宋"/>
              </w:rPr>
            </w:pPr>
            <w:r>
              <w:rPr>
                <w:rFonts w:hint="eastAsia"/>
              </w:rPr>
              <w:t>水泥地面工程、石材地面工程、陶瓷地面工程12年；实木地面工程、复合木地面工程、竹地面工程6年；地毯6年。</w:t>
            </w:r>
          </w:p>
        </w:tc>
      </w:tr>
    </w:tbl>
    <w:p>
      <w:pPr>
        <w:pStyle w:val="216"/>
      </w:pPr>
      <w:r>
        <w:t>装饰装修的使用年限超过表</w:t>
      </w:r>
      <w:r>
        <w:rPr>
          <w:rFonts w:hint="eastAsia"/>
        </w:rPr>
        <w:t>C</w:t>
      </w:r>
      <w:r>
        <w:t>.</w:t>
      </w:r>
      <w:r>
        <w:rPr>
          <w:rFonts w:hint="eastAsia"/>
        </w:rPr>
        <w:t>1</w:t>
      </w:r>
      <w:r>
        <w:t>的规定时，</w:t>
      </w:r>
      <w:r>
        <w:rPr>
          <w:rFonts w:hint="eastAsia"/>
        </w:rPr>
        <w:t>使用单位</w:t>
      </w:r>
      <w:r>
        <w:t>应及时组织检查与评定，以确定是否需要进行</w:t>
      </w:r>
      <w:r>
        <w:rPr>
          <w:rFonts w:hint="eastAsia"/>
        </w:rPr>
        <w:t>维修</w:t>
      </w:r>
      <w:r>
        <w:t>。</w:t>
      </w:r>
    </w:p>
    <w:p>
      <w:pPr>
        <w:pStyle w:val="216"/>
      </w:pPr>
      <w:r>
        <w:rPr>
          <w:rFonts w:hint="eastAsia"/>
        </w:rPr>
        <w:t>检查与评定应从外观质量、使用功能和安全性三个方面进行，评定级别分为A、B、C、D四级，分别对应完好，基本完好，一般隐患，严重隐患。主要检查评定内容按表C.2规定：</w:t>
      </w:r>
    </w:p>
    <w:p>
      <w:pPr>
        <w:pStyle w:val="81"/>
        <w:spacing w:before="156" w:after="156"/>
      </w:pPr>
      <w:r>
        <w:rPr>
          <w:rFonts w:hint="eastAsia"/>
        </w:rPr>
        <w:t>办公用房装饰装修系统检查评定内容一览表</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1946"/>
        <w:gridCol w:w="2169"/>
        <w:gridCol w:w="543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1946" w:type="dxa"/>
            <w:tcBorders>
              <w:bottom w:val="single" w:color="auto" w:sz="8" w:space="0"/>
            </w:tcBorders>
          </w:tcPr>
          <w:p>
            <w:pPr>
              <w:jc w:val="center"/>
            </w:pPr>
            <w:r>
              <w:rPr>
                <w:rFonts w:hint="eastAsia"/>
              </w:rPr>
              <w:t>检查项目</w:t>
            </w:r>
          </w:p>
        </w:tc>
        <w:tc>
          <w:tcPr>
            <w:tcW w:w="2169" w:type="dxa"/>
            <w:tcBorders>
              <w:bottom w:val="single" w:color="auto" w:sz="8" w:space="0"/>
            </w:tcBorders>
          </w:tcPr>
          <w:p>
            <w:pPr>
              <w:jc w:val="center"/>
            </w:pPr>
            <w:r>
              <w:rPr>
                <w:rFonts w:hint="eastAsia"/>
              </w:rPr>
              <w:t>检查部位</w:t>
            </w:r>
          </w:p>
        </w:tc>
        <w:tc>
          <w:tcPr>
            <w:tcW w:w="5439" w:type="dxa"/>
            <w:tcBorders>
              <w:bottom w:val="single" w:color="auto" w:sz="8" w:space="0"/>
            </w:tcBorders>
          </w:tcPr>
          <w:p>
            <w:pPr>
              <w:jc w:val="center"/>
            </w:pPr>
            <w:r>
              <w:rPr>
                <w:rFonts w:hint="eastAsia"/>
              </w:rPr>
              <w:t>主要检查内容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946" w:type="dxa"/>
            <w:vMerge w:val="restart"/>
            <w:tcBorders>
              <w:top w:val="single" w:color="auto" w:sz="8" w:space="0"/>
            </w:tcBorders>
            <w:vAlign w:val="center"/>
          </w:tcPr>
          <w:p>
            <w:pPr>
              <w:jc w:val="center"/>
            </w:pPr>
            <w:r>
              <w:rPr>
                <w:rFonts w:hint="eastAsia"/>
              </w:rPr>
              <w:t>外观质量</w:t>
            </w:r>
          </w:p>
        </w:tc>
        <w:tc>
          <w:tcPr>
            <w:tcW w:w="2169" w:type="dxa"/>
            <w:tcBorders>
              <w:top w:val="single" w:color="auto" w:sz="8" w:space="0"/>
            </w:tcBorders>
          </w:tcPr>
          <w:p>
            <w:pPr>
              <w:jc w:val="center"/>
            </w:pPr>
            <w:r>
              <w:rPr>
                <w:rFonts w:hint="eastAsia"/>
              </w:rPr>
              <w:t>抹灰层</w:t>
            </w:r>
          </w:p>
        </w:tc>
        <w:tc>
          <w:tcPr>
            <w:tcW w:w="5439" w:type="dxa"/>
            <w:tcBorders>
              <w:top w:val="single" w:color="auto" w:sz="8" w:space="0"/>
            </w:tcBorders>
          </w:tcPr>
          <w:p>
            <w:pPr>
              <w:jc w:val="center"/>
            </w:pPr>
            <w:r>
              <w:rPr>
                <w:rFonts w:hint="eastAsia"/>
              </w:rPr>
              <w:t>是否开裂、空鼓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946" w:type="dxa"/>
            <w:vMerge w:val="continue"/>
            <w:vAlign w:val="center"/>
          </w:tcPr>
          <w:p>
            <w:pPr>
              <w:pStyle w:val="182"/>
            </w:pPr>
          </w:p>
        </w:tc>
        <w:tc>
          <w:tcPr>
            <w:tcW w:w="2169" w:type="dxa"/>
          </w:tcPr>
          <w:p>
            <w:pPr>
              <w:jc w:val="center"/>
            </w:pPr>
            <w:r>
              <w:rPr>
                <w:rFonts w:hint="eastAsia"/>
              </w:rPr>
              <w:t>门  窗</w:t>
            </w:r>
          </w:p>
        </w:tc>
        <w:tc>
          <w:tcPr>
            <w:tcW w:w="5439" w:type="dxa"/>
          </w:tcPr>
          <w:p>
            <w:pPr>
              <w:jc w:val="center"/>
            </w:pPr>
            <w:r>
              <w:rPr>
                <w:rFonts w:hint="eastAsia"/>
              </w:rPr>
              <w:t>是否玻璃裂损、五金配件残缺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946" w:type="dxa"/>
            <w:vMerge w:val="continue"/>
            <w:vAlign w:val="center"/>
          </w:tcPr>
          <w:p>
            <w:pPr>
              <w:pStyle w:val="182"/>
            </w:pPr>
          </w:p>
        </w:tc>
        <w:tc>
          <w:tcPr>
            <w:tcW w:w="2169" w:type="dxa"/>
          </w:tcPr>
          <w:p>
            <w:pPr>
              <w:jc w:val="center"/>
            </w:pPr>
            <w:r>
              <w:rPr>
                <w:rFonts w:hint="eastAsia"/>
              </w:rPr>
              <w:t>吊  顶</w:t>
            </w:r>
          </w:p>
        </w:tc>
        <w:tc>
          <w:tcPr>
            <w:tcW w:w="5439" w:type="dxa"/>
          </w:tcPr>
          <w:p>
            <w:pPr>
              <w:jc w:val="center"/>
            </w:pPr>
            <w:r>
              <w:rPr>
                <w:rFonts w:hint="eastAsia"/>
              </w:rPr>
              <w:t>是否破损、脱落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946" w:type="dxa"/>
            <w:vMerge w:val="continue"/>
            <w:vAlign w:val="center"/>
          </w:tcPr>
          <w:p>
            <w:pPr>
              <w:pStyle w:val="182"/>
            </w:pPr>
          </w:p>
        </w:tc>
        <w:tc>
          <w:tcPr>
            <w:tcW w:w="2169" w:type="dxa"/>
          </w:tcPr>
          <w:p>
            <w:pPr>
              <w:jc w:val="center"/>
            </w:pPr>
            <w:r>
              <w:rPr>
                <w:rFonts w:hint="eastAsia"/>
              </w:rPr>
              <w:t>轻质隔墙</w:t>
            </w:r>
          </w:p>
        </w:tc>
        <w:tc>
          <w:tcPr>
            <w:tcW w:w="5439" w:type="dxa"/>
          </w:tcPr>
          <w:p>
            <w:pPr>
              <w:jc w:val="center"/>
            </w:pPr>
            <w:r>
              <w:rPr>
                <w:rFonts w:hint="eastAsia"/>
              </w:rPr>
              <w:t>是否存在交接处开裂，隔墙板缺损和脱落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946" w:type="dxa"/>
            <w:vMerge w:val="continue"/>
            <w:vAlign w:val="center"/>
          </w:tcPr>
          <w:p>
            <w:pPr>
              <w:pStyle w:val="182"/>
            </w:pPr>
          </w:p>
        </w:tc>
        <w:tc>
          <w:tcPr>
            <w:tcW w:w="2169" w:type="dxa"/>
          </w:tcPr>
          <w:p>
            <w:pPr>
              <w:jc w:val="center"/>
            </w:pPr>
            <w:r>
              <w:rPr>
                <w:rFonts w:hint="eastAsia"/>
              </w:rPr>
              <w:t>饰面板</w:t>
            </w:r>
          </w:p>
        </w:tc>
        <w:tc>
          <w:tcPr>
            <w:tcW w:w="5439" w:type="dxa"/>
          </w:tcPr>
          <w:p>
            <w:pPr>
              <w:jc w:val="center"/>
            </w:pPr>
            <w:r>
              <w:rPr>
                <w:rFonts w:hint="eastAsia"/>
              </w:rPr>
              <w:t>是否损坏、脱落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946" w:type="dxa"/>
            <w:vMerge w:val="continue"/>
            <w:vAlign w:val="center"/>
          </w:tcPr>
          <w:p>
            <w:pPr>
              <w:pStyle w:val="182"/>
            </w:pPr>
          </w:p>
        </w:tc>
        <w:tc>
          <w:tcPr>
            <w:tcW w:w="2169" w:type="dxa"/>
          </w:tcPr>
          <w:p>
            <w:pPr>
              <w:jc w:val="center"/>
            </w:pPr>
            <w:r>
              <w:rPr>
                <w:rFonts w:hint="eastAsia"/>
              </w:rPr>
              <w:t>幕墙饰面</w:t>
            </w:r>
          </w:p>
        </w:tc>
        <w:tc>
          <w:tcPr>
            <w:tcW w:w="5439" w:type="dxa"/>
          </w:tcPr>
          <w:p>
            <w:pPr>
              <w:jc w:val="center"/>
            </w:pPr>
            <w:r>
              <w:rPr>
                <w:rFonts w:hint="eastAsia"/>
              </w:rPr>
              <w:t>是否松动、损坏、脱落</w:t>
            </w:r>
          </w:p>
        </w:tc>
      </w:tr>
    </w:tbl>
    <w:p>
      <w:pPr>
        <w:pStyle w:val="182"/>
      </w:pPr>
      <w:r>
        <w:rPr>
          <w:rFonts w:hint="eastAsia"/>
        </w:rPr>
        <w:br w:type="page"/>
      </w:r>
    </w:p>
    <w:p>
      <w:pPr>
        <w:pStyle w:val="60"/>
        <w:pageBreakBefore/>
        <w:spacing w:before="156" w:beforeLines="50" w:after="156" w:afterLines="50"/>
        <w:ind w:firstLine="0" w:firstLineChars="0"/>
        <w:jc w:val="center"/>
        <w:rPr>
          <w:rFonts w:hAnsi="宋体" w:cs="宋体"/>
        </w:rPr>
      </w:pPr>
      <w:r>
        <w:rPr>
          <w:rFonts w:hint="eastAsia" w:ascii="黑体" w:hAnsi="黑体" w:eastAsia="黑体" w:cs="黑体"/>
        </w:rPr>
        <w:t>表C.2  办公用房装饰装修系统检查评定内容一览表</w:t>
      </w:r>
      <w:r>
        <w:rPr>
          <w:rFonts w:hint="eastAsia" w:hAnsi="宋体" w:cs="宋体"/>
        </w:rPr>
        <w:t>（续）</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1958"/>
        <w:gridCol w:w="2157"/>
        <w:gridCol w:w="543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1958" w:type="dxa"/>
            <w:tcBorders>
              <w:bottom w:val="single" w:color="auto" w:sz="4" w:space="0"/>
            </w:tcBorders>
          </w:tcPr>
          <w:p>
            <w:pPr>
              <w:jc w:val="center"/>
            </w:pPr>
            <w:r>
              <w:rPr>
                <w:rFonts w:hint="eastAsia"/>
              </w:rPr>
              <w:t>检查项目</w:t>
            </w:r>
          </w:p>
        </w:tc>
        <w:tc>
          <w:tcPr>
            <w:tcW w:w="2157" w:type="dxa"/>
            <w:tcBorders>
              <w:bottom w:val="single" w:color="auto" w:sz="4" w:space="0"/>
            </w:tcBorders>
          </w:tcPr>
          <w:p>
            <w:pPr>
              <w:jc w:val="center"/>
            </w:pPr>
            <w:r>
              <w:rPr>
                <w:rFonts w:hint="eastAsia"/>
              </w:rPr>
              <w:t>检查部位</w:t>
            </w:r>
          </w:p>
        </w:tc>
        <w:tc>
          <w:tcPr>
            <w:tcW w:w="5439" w:type="dxa"/>
            <w:tcBorders>
              <w:bottom w:val="single" w:color="auto" w:sz="4" w:space="0"/>
            </w:tcBorders>
          </w:tcPr>
          <w:p>
            <w:pPr>
              <w:jc w:val="center"/>
            </w:pPr>
            <w:r>
              <w:rPr>
                <w:rFonts w:hint="eastAsia"/>
              </w:rPr>
              <w:t>主要检查内容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1958" w:type="dxa"/>
            <w:vMerge w:val="restart"/>
            <w:tcBorders>
              <w:top w:val="single" w:color="auto" w:sz="4" w:space="0"/>
            </w:tcBorders>
            <w:vAlign w:val="center"/>
          </w:tcPr>
          <w:p>
            <w:pPr>
              <w:jc w:val="center"/>
            </w:pPr>
            <w:r>
              <w:rPr>
                <w:rFonts w:hint="eastAsia"/>
              </w:rPr>
              <w:t>外观质量</w:t>
            </w:r>
          </w:p>
        </w:tc>
        <w:tc>
          <w:tcPr>
            <w:tcW w:w="2157" w:type="dxa"/>
            <w:tcBorders>
              <w:top w:val="single" w:color="auto" w:sz="4" w:space="0"/>
            </w:tcBorders>
          </w:tcPr>
          <w:p>
            <w:pPr>
              <w:jc w:val="center"/>
            </w:pPr>
            <w:r>
              <w:rPr>
                <w:rFonts w:hint="eastAsia"/>
              </w:rPr>
              <w:t>涂饰层和裱糊层</w:t>
            </w:r>
          </w:p>
        </w:tc>
        <w:tc>
          <w:tcPr>
            <w:tcW w:w="5439" w:type="dxa"/>
            <w:tcBorders>
              <w:top w:val="single" w:color="auto" w:sz="4" w:space="0"/>
            </w:tcBorders>
          </w:tcPr>
          <w:p>
            <w:pPr>
              <w:jc w:val="center"/>
            </w:pPr>
            <w:r>
              <w:rPr>
                <w:rFonts w:hint="eastAsia"/>
              </w:rPr>
              <w:t>是否变色、起皮和剥落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1958" w:type="dxa"/>
            <w:vMerge w:val="continue"/>
            <w:vAlign w:val="center"/>
          </w:tcPr>
          <w:p>
            <w:pPr>
              <w:pStyle w:val="182"/>
            </w:pPr>
          </w:p>
        </w:tc>
        <w:tc>
          <w:tcPr>
            <w:tcW w:w="2157" w:type="dxa"/>
          </w:tcPr>
          <w:p>
            <w:pPr>
              <w:jc w:val="center"/>
            </w:pPr>
            <w:r>
              <w:rPr>
                <w:rFonts w:hint="eastAsia"/>
              </w:rPr>
              <w:t>软  包</w:t>
            </w:r>
          </w:p>
        </w:tc>
        <w:tc>
          <w:tcPr>
            <w:tcW w:w="5439" w:type="dxa"/>
          </w:tcPr>
          <w:p>
            <w:pPr>
              <w:jc w:val="center"/>
            </w:pPr>
            <w:r>
              <w:rPr>
                <w:rFonts w:hint="eastAsia"/>
              </w:rPr>
              <w:t>是否破损和变形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blHeader/>
          <w:jc w:val="center"/>
        </w:trPr>
        <w:tc>
          <w:tcPr>
            <w:tcW w:w="1958" w:type="dxa"/>
            <w:vMerge w:val="continue"/>
            <w:vAlign w:val="center"/>
          </w:tcPr>
          <w:p>
            <w:pPr>
              <w:pStyle w:val="182"/>
            </w:pPr>
          </w:p>
        </w:tc>
        <w:tc>
          <w:tcPr>
            <w:tcW w:w="2157" w:type="dxa"/>
          </w:tcPr>
          <w:p>
            <w:pPr>
              <w:jc w:val="center"/>
            </w:pPr>
            <w:r>
              <w:rPr>
                <w:rFonts w:hint="eastAsia"/>
              </w:rPr>
              <w:t>楼、地面</w:t>
            </w:r>
          </w:p>
        </w:tc>
        <w:tc>
          <w:tcPr>
            <w:tcW w:w="5439" w:type="dxa"/>
          </w:tcPr>
          <w:p>
            <w:pPr>
              <w:jc w:val="center"/>
            </w:pPr>
            <w:r>
              <w:rPr>
                <w:rFonts w:hint="eastAsia"/>
              </w:rPr>
              <w:t>是否裂损和空鼓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1958" w:type="dxa"/>
            <w:vMerge w:val="restart"/>
            <w:vAlign w:val="center"/>
          </w:tcPr>
          <w:p>
            <w:pPr>
              <w:pStyle w:val="182"/>
              <w:rPr>
                <w:sz w:val="21"/>
                <w:szCs w:val="21"/>
              </w:rPr>
            </w:pPr>
            <w:r>
              <w:rPr>
                <w:rFonts w:hint="eastAsia"/>
                <w:sz w:val="21"/>
                <w:szCs w:val="21"/>
              </w:rPr>
              <w:t>使用功能</w:t>
            </w:r>
          </w:p>
        </w:tc>
        <w:tc>
          <w:tcPr>
            <w:tcW w:w="2157" w:type="dxa"/>
          </w:tcPr>
          <w:p>
            <w:pPr>
              <w:jc w:val="center"/>
            </w:pPr>
            <w:r>
              <w:rPr>
                <w:rFonts w:hint="eastAsia"/>
              </w:rPr>
              <w:t>墙  体</w:t>
            </w:r>
          </w:p>
        </w:tc>
        <w:tc>
          <w:tcPr>
            <w:tcW w:w="5439" w:type="dxa"/>
          </w:tcPr>
          <w:p>
            <w:pPr>
              <w:jc w:val="center"/>
            </w:pPr>
            <w:r>
              <w:rPr>
                <w:rFonts w:hint="eastAsia"/>
              </w:rPr>
              <w:t>是否渗漏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1958" w:type="dxa"/>
            <w:vMerge w:val="continue"/>
            <w:vAlign w:val="center"/>
          </w:tcPr>
          <w:p>
            <w:pPr>
              <w:pStyle w:val="182"/>
              <w:rPr>
                <w:sz w:val="21"/>
                <w:szCs w:val="21"/>
              </w:rPr>
            </w:pPr>
          </w:p>
        </w:tc>
        <w:tc>
          <w:tcPr>
            <w:tcW w:w="2157" w:type="dxa"/>
          </w:tcPr>
          <w:p>
            <w:pPr>
              <w:jc w:val="center"/>
            </w:pPr>
            <w:r>
              <w:rPr>
                <w:rFonts w:hint="eastAsia"/>
              </w:rPr>
              <w:t>门  窗</w:t>
            </w:r>
          </w:p>
        </w:tc>
        <w:tc>
          <w:tcPr>
            <w:tcW w:w="5439" w:type="dxa"/>
          </w:tcPr>
          <w:p>
            <w:pPr>
              <w:jc w:val="center"/>
            </w:pPr>
            <w:r>
              <w:rPr>
                <w:rFonts w:hint="eastAsia"/>
              </w:rPr>
              <w:t>是否开启灵活、关闭严密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1958" w:type="dxa"/>
            <w:vMerge w:val="continue"/>
            <w:vAlign w:val="center"/>
          </w:tcPr>
          <w:p>
            <w:pPr>
              <w:pStyle w:val="182"/>
              <w:rPr>
                <w:sz w:val="21"/>
                <w:szCs w:val="21"/>
              </w:rPr>
            </w:pPr>
          </w:p>
        </w:tc>
        <w:tc>
          <w:tcPr>
            <w:tcW w:w="2157" w:type="dxa"/>
          </w:tcPr>
          <w:p>
            <w:pPr>
              <w:jc w:val="center"/>
            </w:pPr>
            <w:r>
              <w:rPr>
                <w:rFonts w:hint="eastAsia"/>
              </w:rPr>
              <w:t>隔  墙</w:t>
            </w:r>
          </w:p>
        </w:tc>
        <w:tc>
          <w:tcPr>
            <w:tcW w:w="5439" w:type="dxa"/>
          </w:tcPr>
          <w:p>
            <w:pPr>
              <w:jc w:val="center"/>
            </w:pPr>
            <w:r>
              <w:rPr>
                <w:rFonts w:hint="eastAsia"/>
              </w:rPr>
              <w:t>是否隔音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blHeader/>
          <w:jc w:val="center"/>
        </w:trPr>
        <w:tc>
          <w:tcPr>
            <w:tcW w:w="1958" w:type="dxa"/>
            <w:vMerge w:val="continue"/>
            <w:vAlign w:val="center"/>
          </w:tcPr>
          <w:p>
            <w:pPr>
              <w:pStyle w:val="182"/>
              <w:rPr>
                <w:sz w:val="21"/>
                <w:szCs w:val="21"/>
              </w:rPr>
            </w:pPr>
          </w:p>
        </w:tc>
        <w:tc>
          <w:tcPr>
            <w:tcW w:w="2157" w:type="dxa"/>
            <w:vAlign w:val="center"/>
          </w:tcPr>
          <w:p>
            <w:pPr>
              <w:jc w:val="center"/>
            </w:pPr>
            <w:r>
              <w:rPr>
                <w:rFonts w:hint="eastAsia"/>
              </w:rPr>
              <w:t>其他部位</w:t>
            </w:r>
          </w:p>
        </w:tc>
        <w:tc>
          <w:tcPr>
            <w:tcW w:w="5439" w:type="dxa"/>
          </w:tcPr>
          <w:p>
            <w:pPr>
              <w:jc w:val="center"/>
            </w:pPr>
            <w:r>
              <w:rPr>
                <w:rFonts w:hint="eastAsia"/>
              </w:rPr>
              <w:t>饰面板、砖、幕墙、涂饰层、裱糊层和软包等是否渗漏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1958" w:type="dxa"/>
            <w:tcBorders>
              <w:bottom w:val="single" w:color="auto" w:sz="8" w:space="0"/>
            </w:tcBorders>
            <w:vAlign w:val="center"/>
          </w:tcPr>
          <w:p>
            <w:pPr>
              <w:pStyle w:val="182"/>
              <w:rPr>
                <w:sz w:val="21"/>
                <w:szCs w:val="21"/>
              </w:rPr>
            </w:pPr>
            <w:r>
              <w:rPr>
                <w:rFonts w:hint="eastAsia"/>
                <w:sz w:val="21"/>
                <w:szCs w:val="21"/>
              </w:rPr>
              <w:t>安全性</w:t>
            </w:r>
          </w:p>
        </w:tc>
        <w:tc>
          <w:tcPr>
            <w:tcW w:w="7596" w:type="dxa"/>
            <w:gridSpan w:val="2"/>
            <w:tcBorders>
              <w:bottom w:val="single" w:color="auto" w:sz="8" w:space="0"/>
            </w:tcBorders>
            <w:vAlign w:val="center"/>
          </w:tcPr>
          <w:p>
            <w:pPr>
              <w:jc w:val="left"/>
            </w:pPr>
            <w:r>
              <w:rPr>
                <w:rFonts w:hint="eastAsia"/>
              </w:rPr>
              <w:t>装饰装修的主要构件和饰面层是否与连接件和基层连接牢固，玻璃等易碎件固定是否可靠，是否存在安全隐患等等。</w:t>
            </w:r>
          </w:p>
        </w:tc>
      </w:tr>
    </w:tbl>
    <w:p>
      <w:pPr>
        <w:pStyle w:val="60"/>
        <w:ind w:firstLine="420"/>
      </w:pPr>
    </w:p>
    <w:p>
      <w:pPr>
        <w:pStyle w:val="216"/>
        <w:numPr>
          <w:ilvl w:val="2"/>
          <w:numId w:val="73"/>
        </w:numPr>
      </w:pPr>
      <w:r>
        <w:t>装饰装修在使用过程中，应经常进行清洁和维护。</w:t>
      </w:r>
      <w:r>
        <w:rPr>
          <w:rFonts w:hint="eastAsia"/>
        </w:rPr>
        <w:t>检查检测时，可将展开面积大于2㎡且小于10㎡的可独立面作为一个检测点，对于评定值达到C级以上的子系统，根据检测点的相对比例，评定标准按表C.3规定：</w:t>
      </w:r>
    </w:p>
    <w:p>
      <w:pPr>
        <w:pStyle w:val="81"/>
        <w:spacing w:before="156" w:after="156"/>
      </w:pPr>
      <w:r>
        <w:rPr>
          <w:rFonts w:hint="eastAsia"/>
        </w:rPr>
        <w:t>办公用房装饰装修系统检查评定表</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896"/>
        <w:gridCol w:w="2487"/>
        <w:gridCol w:w="617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896" w:type="dxa"/>
            <w:tcBorders>
              <w:bottom w:val="single" w:color="auto" w:sz="8" w:space="0"/>
            </w:tcBorders>
          </w:tcPr>
          <w:p>
            <w:pPr>
              <w:jc w:val="center"/>
              <w:rPr>
                <w:rFonts w:ascii="宋体" w:hAnsi="Times New Roman"/>
                <w:kern w:val="21"/>
                <w:szCs w:val="20"/>
              </w:rPr>
            </w:pPr>
            <w:r>
              <w:rPr>
                <w:rFonts w:hint="eastAsia" w:ascii="宋体" w:hAnsi="Times New Roman"/>
                <w:kern w:val="21"/>
                <w:szCs w:val="20"/>
              </w:rPr>
              <w:t>序号</w:t>
            </w:r>
          </w:p>
        </w:tc>
        <w:tc>
          <w:tcPr>
            <w:tcW w:w="2487" w:type="dxa"/>
            <w:tcBorders>
              <w:bottom w:val="single" w:color="auto" w:sz="8" w:space="0"/>
            </w:tcBorders>
          </w:tcPr>
          <w:p>
            <w:pPr>
              <w:jc w:val="center"/>
              <w:rPr>
                <w:rFonts w:ascii="宋体" w:hAnsi="Times New Roman"/>
                <w:kern w:val="21"/>
                <w:szCs w:val="20"/>
              </w:rPr>
            </w:pPr>
            <w:r>
              <w:rPr>
                <w:rFonts w:hint="eastAsia" w:ascii="宋体" w:hAnsi="Times New Roman"/>
                <w:kern w:val="21"/>
                <w:szCs w:val="20"/>
              </w:rPr>
              <w:t>子系统检测点相对值</w:t>
            </w:r>
          </w:p>
        </w:tc>
        <w:tc>
          <w:tcPr>
            <w:tcW w:w="6171" w:type="dxa"/>
            <w:tcBorders>
              <w:bottom w:val="single" w:color="auto" w:sz="8" w:space="0"/>
            </w:tcBorders>
          </w:tcPr>
          <w:p>
            <w:pPr>
              <w:jc w:val="center"/>
              <w:rPr>
                <w:rFonts w:ascii="宋体" w:hAnsi="Times New Roman"/>
                <w:kern w:val="21"/>
                <w:szCs w:val="20"/>
              </w:rPr>
            </w:pPr>
            <w:r>
              <w:rPr>
                <w:rFonts w:hint="eastAsia" w:ascii="宋体" w:hAnsi="Times New Roman"/>
                <w:kern w:val="21"/>
                <w:szCs w:val="20"/>
              </w:rPr>
              <w:t>维 修 方 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96" w:type="dxa"/>
            <w:tcBorders>
              <w:top w:val="single" w:color="auto" w:sz="8" w:space="0"/>
            </w:tcBorders>
          </w:tcPr>
          <w:p>
            <w:pPr>
              <w:jc w:val="center"/>
              <w:rPr>
                <w:rFonts w:ascii="宋体" w:hAnsi="Times New Roman"/>
                <w:kern w:val="21"/>
                <w:szCs w:val="20"/>
              </w:rPr>
            </w:pPr>
            <w:r>
              <w:rPr>
                <w:rFonts w:hint="eastAsia" w:ascii="宋体" w:hAnsi="Times New Roman"/>
                <w:kern w:val="21"/>
                <w:szCs w:val="20"/>
              </w:rPr>
              <w:t>1</w:t>
            </w:r>
          </w:p>
        </w:tc>
        <w:tc>
          <w:tcPr>
            <w:tcW w:w="2487" w:type="dxa"/>
            <w:tcBorders>
              <w:top w:val="single" w:color="auto" w:sz="8" w:space="0"/>
            </w:tcBorders>
          </w:tcPr>
          <w:p>
            <w:pPr>
              <w:rPr>
                <w:rFonts w:ascii="宋体" w:hAnsi="Times New Roman"/>
                <w:kern w:val="21"/>
                <w:szCs w:val="20"/>
              </w:rPr>
            </w:pPr>
            <w:r>
              <w:rPr>
                <w:rFonts w:hint="eastAsia" w:ascii="宋体" w:hAnsi="Times New Roman"/>
                <w:kern w:val="21"/>
                <w:szCs w:val="20"/>
              </w:rPr>
              <w:t>检测点未达到10%</w:t>
            </w:r>
          </w:p>
        </w:tc>
        <w:tc>
          <w:tcPr>
            <w:tcW w:w="6171" w:type="dxa"/>
            <w:tcBorders>
              <w:top w:val="single" w:color="auto" w:sz="8" w:space="0"/>
            </w:tcBorders>
          </w:tcPr>
          <w:p>
            <w:pPr>
              <w:rPr>
                <w:rFonts w:ascii="宋体" w:hAnsi="Times New Roman"/>
                <w:kern w:val="21"/>
                <w:szCs w:val="20"/>
              </w:rPr>
            </w:pPr>
            <w:r>
              <w:rPr>
                <w:rFonts w:hint="eastAsia" w:ascii="宋体" w:hAnsi="Times New Roman"/>
                <w:kern w:val="21"/>
                <w:szCs w:val="20"/>
              </w:rPr>
              <w:t>宜进行日常维修，清理损坏的饰面后修补。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96" w:type="dxa"/>
          </w:tcPr>
          <w:p>
            <w:pPr>
              <w:jc w:val="center"/>
              <w:rPr>
                <w:rFonts w:ascii="宋体" w:hAnsi="Times New Roman"/>
                <w:kern w:val="21"/>
                <w:szCs w:val="20"/>
              </w:rPr>
            </w:pPr>
            <w:r>
              <w:rPr>
                <w:rFonts w:hint="eastAsia" w:ascii="宋体" w:hAnsi="Times New Roman"/>
                <w:kern w:val="21"/>
                <w:szCs w:val="20"/>
              </w:rPr>
              <w:t>2</w:t>
            </w:r>
          </w:p>
        </w:tc>
        <w:tc>
          <w:tcPr>
            <w:tcW w:w="2487" w:type="dxa"/>
          </w:tcPr>
          <w:p>
            <w:pPr>
              <w:rPr>
                <w:rFonts w:ascii="宋体" w:hAnsi="Times New Roman"/>
                <w:kern w:val="21"/>
                <w:szCs w:val="20"/>
              </w:rPr>
            </w:pPr>
            <w:r>
              <w:rPr>
                <w:rFonts w:hint="eastAsia" w:ascii="宋体" w:hAnsi="Times New Roman"/>
                <w:kern w:val="21"/>
                <w:szCs w:val="20"/>
              </w:rPr>
              <w:t>检测点达到10%-20%之间</w:t>
            </w:r>
          </w:p>
        </w:tc>
        <w:tc>
          <w:tcPr>
            <w:tcW w:w="6171" w:type="dxa"/>
          </w:tcPr>
          <w:p>
            <w:pPr>
              <w:rPr>
                <w:rFonts w:ascii="宋体" w:hAnsi="Times New Roman"/>
                <w:kern w:val="21"/>
                <w:szCs w:val="20"/>
              </w:rPr>
            </w:pPr>
            <w:r>
              <w:rPr>
                <w:rFonts w:hint="eastAsia" w:ascii="宋体" w:hAnsi="Times New Roman"/>
                <w:kern w:val="21"/>
                <w:szCs w:val="20"/>
              </w:rPr>
              <w:t>宜进行有选择性的专项维修，重点部位进行整体翻修。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896" w:type="dxa"/>
          </w:tcPr>
          <w:p>
            <w:pPr>
              <w:jc w:val="center"/>
              <w:rPr>
                <w:rFonts w:ascii="宋体" w:hAnsi="Times New Roman"/>
                <w:kern w:val="21"/>
                <w:szCs w:val="20"/>
              </w:rPr>
            </w:pPr>
            <w:r>
              <w:rPr>
                <w:rFonts w:hint="eastAsia" w:ascii="宋体" w:hAnsi="Times New Roman"/>
                <w:kern w:val="21"/>
                <w:szCs w:val="20"/>
              </w:rPr>
              <w:t>3</w:t>
            </w:r>
          </w:p>
        </w:tc>
        <w:tc>
          <w:tcPr>
            <w:tcW w:w="2487" w:type="dxa"/>
          </w:tcPr>
          <w:p>
            <w:pPr>
              <w:rPr>
                <w:rFonts w:ascii="宋体" w:hAnsi="Times New Roman"/>
                <w:kern w:val="21"/>
                <w:szCs w:val="20"/>
              </w:rPr>
            </w:pPr>
            <w:r>
              <w:rPr>
                <w:rFonts w:hint="eastAsia" w:ascii="宋体" w:hAnsi="Times New Roman"/>
                <w:kern w:val="21"/>
                <w:szCs w:val="20"/>
              </w:rPr>
              <w:t>检测点达到20%以上</w:t>
            </w:r>
          </w:p>
        </w:tc>
        <w:tc>
          <w:tcPr>
            <w:tcW w:w="6171" w:type="dxa"/>
          </w:tcPr>
          <w:p>
            <w:pPr>
              <w:rPr>
                <w:rFonts w:ascii="宋体" w:hAnsi="Times New Roman"/>
                <w:kern w:val="21"/>
                <w:szCs w:val="20"/>
              </w:rPr>
            </w:pPr>
            <w:r>
              <w:rPr>
                <w:rFonts w:hint="eastAsia" w:ascii="宋体" w:hAnsi="Times New Roman"/>
                <w:kern w:val="21"/>
                <w:szCs w:val="20"/>
              </w:rPr>
              <w:t>宜对子系统进行整体性的专项维修。</w:t>
            </w:r>
          </w:p>
        </w:tc>
      </w:tr>
    </w:tbl>
    <w:p>
      <w:pPr>
        <w:pStyle w:val="216"/>
      </w:pPr>
      <w:r>
        <w:t>经检查评定</w:t>
      </w:r>
      <w:r>
        <w:rPr>
          <w:rFonts w:hint="eastAsia"/>
        </w:rPr>
        <w:t>2个以上的子系统须进行整体性的专项维修后，应根据建筑其他系统</w:t>
      </w:r>
      <w:r>
        <w:t>检查评定</w:t>
      </w:r>
      <w:r>
        <w:rPr>
          <w:rFonts w:hint="eastAsia"/>
        </w:rPr>
        <w:t>情况，决定是否应进行装饰装修系统的专项维修。</w:t>
      </w:r>
      <w:r>
        <w:t>除特殊情况外，装饰装修</w:t>
      </w:r>
      <w:r>
        <w:rPr>
          <w:rFonts w:hint="eastAsia"/>
        </w:rPr>
        <w:t>系统</w:t>
      </w:r>
      <w:r>
        <w:t>的</w:t>
      </w:r>
      <w:r>
        <w:rPr>
          <w:rFonts w:hint="eastAsia"/>
        </w:rPr>
        <w:t>专项维修</w:t>
      </w:r>
      <w:r>
        <w:t>宜与其他相关系统的</w:t>
      </w:r>
      <w:r>
        <w:rPr>
          <w:rFonts w:hint="eastAsia"/>
        </w:rPr>
        <w:t>维修</w:t>
      </w:r>
      <w:r>
        <w:t>同时安排。</w:t>
      </w:r>
      <w:bookmarkStart w:id="263" w:name="_Toc404932198"/>
      <w:bookmarkStart w:id="264" w:name="_Toc400615440"/>
      <w:bookmarkStart w:id="265" w:name="_Toc441240372"/>
      <w:bookmarkStart w:id="266" w:name="_Toc404929797"/>
    </w:p>
    <w:p>
      <w:pPr>
        <w:pStyle w:val="82"/>
        <w:spacing w:before="156" w:after="156"/>
      </w:pPr>
      <w:bookmarkStart w:id="267" w:name="_Toc25408"/>
      <w:bookmarkStart w:id="268" w:name="_Toc11417"/>
      <w:bookmarkStart w:id="269" w:name="_Toc241610333"/>
      <w:bookmarkStart w:id="270" w:name="_Toc18268"/>
      <w:bookmarkStart w:id="271" w:name="_Toc5832"/>
      <w:bookmarkStart w:id="272" w:name="_Toc18148"/>
      <w:bookmarkStart w:id="273" w:name="_Toc4269"/>
      <w:bookmarkStart w:id="274" w:name="_Toc21930"/>
      <w:bookmarkStart w:id="275" w:name="_Toc14902"/>
      <w:bookmarkStart w:id="276" w:name="_Toc27937"/>
      <w:bookmarkStart w:id="277" w:name="_Toc16403"/>
      <w:bookmarkStart w:id="278" w:name="_Toc2643"/>
      <w:bookmarkStart w:id="279" w:name="_Toc27989"/>
      <w:bookmarkStart w:id="280" w:name="_Toc4349"/>
      <w:bookmarkStart w:id="281" w:name="_Toc2611"/>
      <w:bookmarkStart w:id="282" w:name="_Toc241609817"/>
      <w:r>
        <w:rPr>
          <w:rFonts w:hint="eastAsia"/>
        </w:rPr>
        <w:t>装饰装修系统</w:t>
      </w:r>
      <w:r>
        <w:t>维修</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216"/>
      </w:pPr>
      <w:r>
        <w:rPr>
          <w:rFonts w:hint="eastAsia"/>
        </w:rPr>
        <w:t>装饰装修系统的维修应有专项维修方案，维修</w:t>
      </w:r>
      <w:r>
        <w:t>方案至少应包括以下内容：</w:t>
      </w:r>
    </w:p>
    <w:p>
      <w:pPr>
        <w:pStyle w:val="178"/>
        <w:numPr>
          <w:ilvl w:val="0"/>
          <w:numId w:val="74"/>
        </w:numPr>
      </w:pPr>
      <w:r>
        <w:rPr>
          <w:rFonts w:hint="eastAsia"/>
        </w:rPr>
        <w:t>建筑基本概况（包括建筑面积、建筑年代、建筑高度以及建筑平面布置等）；</w:t>
      </w:r>
    </w:p>
    <w:p>
      <w:pPr>
        <w:pStyle w:val="178"/>
        <w:numPr>
          <w:ilvl w:val="0"/>
          <w:numId w:val="74"/>
        </w:numPr>
      </w:pPr>
      <w:r>
        <w:rPr>
          <w:rFonts w:hint="eastAsia"/>
        </w:rPr>
        <w:t>建筑物现状（包括室内地面、墙面、顶棚、门窗、外墙等所用材料及现状）；</w:t>
      </w:r>
    </w:p>
    <w:p>
      <w:pPr>
        <w:pStyle w:val="178"/>
        <w:numPr>
          <w:ilvl w:val="0"/>
          <w:numId w:val="74"/>
        </w:numPr>
      </w:pPr>
      <w:r>
        <w:rPr>
          <w:rFonts w:hint="eastAsia"/>
        </w:rPr>
        <w:t>建筑装饰装修的检查与评定结果（包括检查内容和检查结果）；</w:t>
      </w:r>
    </w:p>
    <w:p>
      <w:pPr>
        <w:pStyle w:val="178"/>
        <w:numPr>
          <w:ilvl w:val="0"/>
          <w:numId w:val="74"/>
        </w:numPr>
      </w:pPr>
      <w:r>
        <w:rPr>
          <w:rFonts w:hint="eastAsia"/>
        </w:rPr>
        <w:t>建筑装饰装修维修的可行性方案；</w:t>
      </w:r>
    </w:p>
    <w:p>
      <w:pPr>
        <w:pStyle w:val="178"/>
        <w:numPr>
          <w:ilvl w:val="0"/>
          <w:numId w:val="74"/>
        </w:numPr>
      </w:pPr>
      <w:r>
        <w:rPr>
          <w:rFonts w:hint="eastAsia"/>
        </w:rPr>
        <w:t>维修改造方案（包括维修改造内容、初步设计方案、需更换的材料以及工程施工周期等）。</w:t>
      </w:r>
    </w:p>
    <w:p>
      <w:pPr>
        <w:pStyle w:val="216"/>
      </w:pPr>
      <w:r>
        <w:t>装饰装修进行</w:t>
      </w:r>
      <w:r>
        <w:rPr>
          <w:rFonts w:hint="eastAsia"/>
        </w:rPr>
        <w:t>维修</w:t>
      </w:r>
      <w:r>
        <w:t>时，应由有资质的设计单位和</w:t>
      </w:r>
      <w:r>
        <w:rPr>
          <w:rFonts w:hint="eastAsia"/>
          <w:u w:val="single"/>
        </w:rPr>
        <w:t>项目施工单位</w:t>
      </w:r>
      <w:r>
        <w:t>承担，并出具完整的施工图等设计文件。办公用房装饰装修工程的设计和施工，应符合有关安全、环保、卫生的规定，并与城市规划的要求相协调</w:t>
      </w:r>
      <w:r>
        <w:rPr>
          <w:rFonts w:hint="eastAsia"/>
        </w:rPr>
        <w:t>，应构造简洁、色彩适宜，营造庄重、实用、协调的装饰效果，因地制宜地选用节能环保装修材料或构配件。</w:t>
      </w:r>
    </w:p>
    <w:p>
      <w:pPr>
        <w:pStyle w:val="82"/>
        <w:spacing w:before="156" w:after="156"/>
      </w:pPr>
      <w:bookmarkStart w:id="283" w:name="_Toc23392"/>
      <w:bookmarkStart w:id="284" w:name="_Toc241609818"/>
      <w:bookmarkStart w:id="285" w:name="_Toc17049"/>
      <w:bookmarkStart w:id="286" w:name="_Toc20879"/>
      <w:bookmarkStart w:id="287" w:name="_Toc241610334"/>
      <w:r>
        <w:rPr>
          <w:rFonts w:hint="eastAsia"/>
        </w:rPr>
        <w:t>装饰装修系统</w:t>
      </w:r>
      <w:r>
        <w:t>维修</w:t>
      </w:r>
      <w:r>
        <w:rPr>
          <w:rFonts w:hint="eastAsia"/>
        </w:rPr>
        <w:t>验收</w:t>
      </w:r>
      <w:bookmarkEnd w:id="283"/>
      <w:bookmarkEnd w:id="284"/>
      <w:bookmarkEnd w:id="285"/>
      <w:bookmarkEnd w:id="286"/>
      <w:bookmarkEnd w:id="287"/>
    </w:p>
    <w:p>
      <w:pPr>
        <w:pStyle w:val="216"/>
      </w:pPr>
      <w:r>
        <w:t>装饰装修工程竣工验收时，室内环境应符合</w:t>
      </w:r>
      <w:r>
        <w:rPr>
          <w:rFonts w:hint="eastAsia"/>
        </w:rPr>
        <w:t>GB</w:t>
      </w:r>
      <w:r>
        <w:t xml:space="preserve"> 50325的规定。</w:t>
      </w:r>
    </w:p>
    <w:p>
      <w:pPr>
        <w:pStyle w:val="216"/>
      </w:pPr>
      <w:r>
        <w:t>装饰装修工程竣工验收时，工程质量应符合</w:t>
      </w:r>
      <w:r>
        <w:rPr>
          <w:rFonts w:hint="eastAsia"/>
        </w:rPr>
        <w:t>GB</w:t>
      </w:r>
      <w:r>
        <w:t xml:space="preserve"> 50210和</w:t>
      </w:r>
      <w:r>
        <w:rPr>
          <w:rFonts w:hint="eastAsia"/>
        </w:rPr>
        <w:t>GB</w:t>
      </w:r>
      <w:r>
        <w:t xml:space="preserve"> 50209的规定和设计的要求</w:t>
      </w:r>
      <w:r>
        <w:rPr>
          <w:rFonts w:hint="eastAsia"/>
        </w:rPr>
        <w:t>。</w:t>
      </w:r>
    </w:p>
    <w:p/>
    <w:p>
      <w:pPr>
        <w:pStyle w:val="60"/>
        <w:ind w:firstLine="420"/>
      </w:pPr>
    </w:p>
    <w:p>
      <w:pPr>
        <w:pStyle w:val="60"/>
        <w:ind w:firstLine="420"/>
      </w:pPr>
    </w:p>
    <w:p>
      <w:pPr>
        <w:pStyle w:val="60"/>
        <w:ind w:firstLine="420"/>
      </w:pPr>
    </w:p>
    <w:p>
      <w:pPr>
        <w:pStyle w:val="60"/>
        <w:ind w:firstLine="420"/>
      </w:pPr>
    </w:p>
    <w:p>
      <w:pPr>
        <w:pStyle w:val="60"/>
        <w:ind w:firstLine="420"/>
        <w:sectPr>
          <w:pgSz w:w="11906" w:h="16838"/>
          <w:pgMar w:top="1928" w:right="1134" w:bottom="1134" w:left="1134" w:header="1418" w:footer="1134" w:gutter="284"/>
          <w:cols w:space="425" w:num="1"/>
          <w:formProt w:val="0"/>
          <w:docGrid w:type="lines" w:linePitch="312" w:charSpace="0"/>
        </w:sectPr>
      </w:pPr>
    </w:p>
    <w:p>
      <w:pPr>
        <w:pStyle w:val="202"/>
        <w:rPr>
          <w:rFonts w:hint="eastAsia"/>
        </w:rPr>
      </w:pPr>
    </w:p>
    <w:p>
      <w:pPr>
        <w:pStyle w:val="203"/>
      </w:pPr>
    </w:p>
    <w:p>
      <w:pPr>
        <w:pStyle w:val="80"/>
        <w:spacing w:before="83" w:after="166"/>
      </w:pPr>
      <w:bookmarkStart w:id="288" w:name="_Toc23160"/>
      <w:r>
        <w:rPr>
          <w:rFonts w:hint="eastAsia"/>
        </w:rPr>
        <w:br w:type="textWrapping"/>
      </w:r>
      <w:bookmarkStart w:id="289" w:name="_Toc241610335"/>
      <w:bookmarkStart w:id="290" w:name="_Toc241609819"/>
      <w:r>
        <w:rPr>
          <w:rFonts w:hint="eastAsia"/>
        </w:rPr>
        <w:t>（规范性）</w:t>
      </w:r>
      <w:r>
        <w:rPr>
          <w:rFonts w:hint="eastAsia"/>
        </w:rPr>
        <w:br w:type="textWrapping"/>
      </w:r>
      <w:r>
        <w:rPr>
          <w:rFonts w:hint="eastAsia"/>
        </w:rPr>
        <w:t>给排水系统检查、维修与验收技术要求</w:t>
      </w:r>
      <w:bookmarkEnd w:id="288"/>
      <w:bookmarkEnd w:id="289"/>
      <w:bookmarkEnd w:id="290"/>
    </w:p>
    <w:p>
      <w:pPr>
        <w:pStyle w:val="82"/>
        <w:spacing w:before="166" w:after="166"/>
      </w:pPr>
      <w:bookmarkStart w:id="291" w:name="_Toc404929799"/>
      <w:bookmarkStart w:id="292" w:name="_Toc404932200"/>
      <w:bookmarkStart w:id="293" w:name="_Toc441240374"/>
      <w:bookmarkStart w:id="294" w:name="_Toc680"/>
      <w:bookmarkStart w:id="295" w:name="_Toc18083"/>
      <w:bookmarkStart w:id="296" w:name="_Toc9394"/>
      <w:bookmarkStart w:id="297" w:name="_Toc6619"/>
      <w:bookmarkStart w:id="298" w:name="_Toc6293"/>
      <w:bookmarkStart w:id="299" w:name="_Toc12391"/>
      <w:bookmarkStart w:id="300" w:name="_Toc5410"/>
      <w:bookmarkStart w:id="301" w:name="_Toc241609820"/>
      <w:bookmarkStart w:id="302" w:name="_Toc11463"/>
      <w:bookmarkStart w:id="303" w:name="_Toc241610336"/>
      <w:bookmarkStart w:id="304" w:name="_Toc26264"/>
      <w:bookmarkStart w:id="305" w:name="_Toc30285"/>
      <w:bookmarkStart w:id="306" w:name="_Toc2665"/>
      <w:bookmarkStart w:id="307" w:name="_Toc4501"/>
      <w:bookmarkStart w:id="308" w:name="_Toc22102"/>
      <w:bookmarkStart w:id="309" w:name="_Toc8568"/>
      <w:r>
        <w:t>一般规定</w:t>
      </w:r>
      <w:bookmarkEnd w:id="291"/>
      <w:bookmarkEnd w:id="292"/>
      <w:bookmarkEnd w:id="293"/>
      <w:r>
        <w:rPr>
          <w:rFonts w:hint="eastAsia"/>
        </w:rPr>
        <w:t>和检查</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216"/>
      </w:pPr>
      <w:r>
        <w:rPr>
          <w:rFonts w:hint="eastAsia"/>
        </w:rPr>
        <w:t>给排水系统分为给水系统和排水系统。按照使用功能划分，其中给水系统分为：室外给水系统、室内生活给水系统、生活热水系统、室内外消防给水系统、中央空调水系统。排水系统分为：室内外生活污水排水系统、雨水排水系统、空调机冷凝水排水系统。</w:t>
      </w:r>
    </w:p>
    <w:p>
      <w:pPr>
        <w:pStyle w:val="216"/>
      </w:pPr>
      <w:r>
        <w:rPr>
          <w:rFonts w:hint="eastAsia"/>
        </w:rPr>
        <w:t>给排水系统维修分为日常维修和大中小修，</w:t>
      </w:r>
      <w:r>
        <w:t>经</w:t>
      </w:r>
      <w:r>
        <w:rPr>
          <w:rFonts w:hint="eastAsia"/>
        </w:rPr>
        <w:t>使用单位</w:t>
      </w:r>
      <w:r>
        <w:t>检查</w:t>
      </w:r>
      <w:r>
        <w:rPr>
          <w:rFonts w:hint="eastAsia"/>
        </w:rPr>
        <w:t>确认达到大中小修标准</w:t>
      </w:r>
      <w:r>
        <w:t>后，应编制</w:t>
      </w:r>
      <w:r>
        <w:rPr>
          <w:rFonts w:hint="eastAsia"/>
        </w:rPr>
        <w:t>维修</w:t>
      </w:r>
      <w:r>
        <w:t>方案</w:t>
      </w:r>
      <w:r>
        <w:rPr>
          <w:rFonts w:hint="eastAsia"/>
        </w:rPr>
        <w:t>。</w:t>
      </w:r>
    </w:p>
    <w:p>
      <w:pPr>
        <w:pStyle w:val="216"/>
      </w:pPr>
      <w:r>
        <w:rPr>
          <w:rFonts w:hint="eastAsia"/>
        </w:rPr>
        <w:t>日常维修标准：若只需</w:t>
      </w:r>
      <w:r>
        <w:t>更换局部管道、配件和小型设备</w:t>
      </w:r>
      <w:r>
        <w:rPr>
          <w:rFonts w:hint="eastAsia"/>
        </w:rPr>
        <w:t>等维修后，即可使检查点评定结果达到Ａ级标准的，则仅进行日常维修。</w:t>
      </w:r>
    </w:p>
    <w:p>
      <w:pPr>
        <w:pStyle w:val="216"/>
      </w:pPr>
      <w:r>
        <w:t>日常维修内容：局部更换器具（如，洗脸盆、大便器、小便器等）、小型设备（如，水箱、补水泵、消毒设备等）、管材、配件和易损部件等</w:t>
      </w:r>
      <w:r>
        <w:rPr>
          <w:rFonts w:hint="eastAsia"/>
        </w:rPr>
        <w:t>；</w:t>
      </w:r>
      <w:r>
        <w:t>清通管道，并进行局部维修。</w:t>
      </w:r>
    </w:p>
    <w:p>
      <w:pPr>
        <w:pStyle w:val="216"/>
      </w:pPr>
      <w:r>
        <w:rPr>
          <w:rFonts w:hint="eastAsia"/>
        </w:rPr>
        <w:t>办公用房给排水系统出现</w:t>
      </w:r>
      <w:r>
        <w:t>具备以下情形之一时</w:t>
      </w:r>
      <w:r>
        <w:rPr>
          <w:rFonts w:hint="eastAsia"/>
        </w:rPr>
        <w:t>，</w:t>
      </w:r>
      <w:r>
        <w:t>应评定为</w:t>
      </w:r>
      <w:r>
        <w:rPr>
          <w:rFonts w:hint="eastAsia"/>
        </w:rPr>
        <w:t>大中小修</w:t>
      </w:r>
      <w:r>
        <w:t>：</w:t>
      </w:r>
    </w:p>
    <w:p>
      <w:pPr>
        <w:pStyle w:val="178"/>
        <w:numPr>
          <w:ilvl w:val="0"/>
          <w:numId w:val="75"/>
        </w:numPr>
      </w:pPr>
      <w:r>
        <w:rPr>
          <w:rFonts w:hint="eastAsia"/>
        </w:rPr>
        <w:t>系统已达到使用年限，系统管道和设备已列入淘汰产品或无法维修；</w:t>
      </w:r>
    </w:p>
    <w:p>
      <w:pPr>
        <w:pStyle w:val="178"/>
        <w:numPr>
          <w:ilvl w:val="0"/>
          <w:numId w:val="75"/>
        </w:numPr>
      </w:pPr>
      <w:r>
        <w:rPr>
          <w:rFonts w:hint="eastAsia"/>
        </w:rPr>
        <w:t>因系统所在建筑功能改善导致设备系统功能发生较大变化，造成该子系统中有30%及以上需进行更换时；</w:t>
      </w:r>
    </w:p>
    <w:p>
      <w:pPr>
        <w:pStyle w:val="178"/>
        <w:numPr>
          <w:ilvl w:val="0"/>
          <w:numId w:val="75"/>
        </w:numPr>
      </w:pPr>
      <w:r>
        <w:rPr>
          <w:rFonts w:hint="eastAsia"/>
        </w:rPr>
        <w:t>系统功能已无法满足建筑使用功能要求时。</w:t>
      </w:r>
    </w:p>
    <w:p>
      <w:pPr>
        <w:pStyle w:val="216"/>
      </w:pPr>
      <w:r>
        <w:rPr>
          <w:rFonts w:hint="eastAsia"/>
        </w:rPr>
        <w:t>大中小修内容包括：</w:t>
      </w:r>
    </w:p>
    <w:p>
      <w:pPr>
        <w:pStyle w:val="178"/>
        <w:numPr>
          <w:ilvl w:val="0"/>
          <w:numId w:val="76"/>
        </w:numPr>
      </w:pPr>
      <w:r>
        <w:rPr>
          <w:rFonts w:hint="eastAsia"/>
        </w:rPr>
        <w:t>按系统更换器具、设备、管材和配件等；</w:t>
      </w:r>
    </w:p>
    <w:p>
      <w:pPr>
        <w:pStyle w:val="178"/>
        <w:numPr>
          <w:ilvl w:val="0"/>
          <w:numId w:val="76"/>
        </w:numPr>
      </w:pPr>
      <w:r>
        <w:rPr>
          <w:rFonts w:hint="eastAsia"/>
        </w:rPr>
        <w:t>对独立子系统进行改造、更新，或对各个子系统进行全面更新；</w:t>
      </w:r>
    </w:p>
    <w:p>
      <w:pPr>
        <w:pStyle w:val="178"/>
        <w:numPr>
          <w:ilvl w:val="0"/>
          <w:numId w:val="76"/>
        </w:numPr>
      </w:pPr>
      <w:r>
        <w:rPr>
          <w:rFonts w:hint="eastAsia"/>
        </w:rPr>
        <w:t>选用当前节能、节水、效率高的器具和设备对原系统进行改造。</w:t>
      </w:r>
    </w:p>
    <w:p>
      <w:pPr>
        <w:pStyle w:val="216"/>
      </w:pPr>
      <w:r>
        <w:t>给水排水系统的检查，分为日常检查和综合检查</w:t>
      </w:r>
      <w:r>
        <w:rPr>
          <w:rFonts w:hint="eastAsia"/>
        </w:rPr>
        <w:t>，由使用单位负责实施，</w:t>
      </w:r>
      <w:r>
        <w:t>办公用房</w:t>
      </w:r>
      <w:r>
        <w:rPr>
          <w:rFonts w:hint="eastAsia"/>
        </w:rPr>
        <w:t>给水排水系统</w:t>
      </w:r>
      <w:r>
        <w:t>达到综合检查周期或在日常检查中发现有安全隐患或耗能严重，以及严重影响使用功能时，应及时组织综合检查。</w:t>
      </w:r>
    </w:p>
    <w:p>
      <w:pPr>
        <w:pStyle w:val="216"/>
      </w:pPr>
      <w:r>
        <w:rPr>
          <w:rFonts w:hint="eastAsia"/>
        </w:rPr>
        <w:t>日常检查内容包括下列内容：</w:t>
      </w:r>
    </w:p>
    <w:p>
      <w:pPr>
        <w:pStyle w:val="178"/>
        <w:numPr>
          <w:ilvl w:val="0"/>
          <w:numId w:val="77"/>
        </w:numPr>
      </w:pPr>
      <w:r>
        <w:rPr>
          <w:rFonts w:hint="eastAsia"/>
        </w:rPr>
        <w:t>给水管道、设备、管件的完整性，阀门有效性及卫生质量情况；</w:t>
      </w:r>
    </w:p>
    <w:p>
      <w:pPr>
        <w:pStyle w:val="178"/>
        <w:numPr>
          <w:ilvl w:val="0"/>
          <w:numId w:val="77"/>
        </w:numPr>
      </w:pPr>
      <w:r>
        <w:rPr>
          <w:rFonts w:hint="eastAsia"/>
        </w:rPr>
        <w:t>室外给水管道及附属设施完好情况，水池、水箱卫生状况；</w:t>
      </w:r>
    </w:p>
    <w:p>
      <w:pPr>
        <w:pStyle w:val="178"/>
        <w:numPr>
          <w:ilvl w:val="0"/>
          <w:numId w:val="77"/>
        </w:numPr>
      </w:pPr>
      <w:r>
        <w:rPr>
          <w:rFonts w:hint="eastAsia"/>
        </w:rPr>
        <w:t>室内排水系统的通水能力，卫生器具和地漏盛水、通水能力及完好程度；</w:t>
      </w:r>
    </w:p>
    <w:p>
      <w:pPr>
        <w:pStyle w:val="178"/>
        <w:numPr>
          <w:ilvl w:val="0"/>
          <w:numId w:val="77"/>
        </w:numPr>
      </w:pPr>
      <w:r>
        <w:rPr>
          <w:rFonts w:hint="eastAsia"/>
        </w:rPr>
        <w:t>地下室集水坑排水能力，排水管网的管道通水能力；</w:t>
      </w:r>
    </w:p>
    <w:p>
      <w:pPr>
        <w:pStyle w:val="178"/>
        <w:numPr>
          <w:ilvl w:val="0"/>
          <w:numId w:val="77"/>
        </w:numPr>
      </w:pPr>
      <w:r>
        <w:rPr>
          <w:rFonts w:hint="eastAsia"/>
        </w:rPr>
        <w:t>室内排水管道及管件的完整性， 室内排水管道的防腐；</w:t>
      </w:r>
    </w:p>
    <w:p>
      <w:pPr>
        <w:pStyle w:val="178"/>
        <w:numPr>
          <w:ilvl w:val="0"/>
          <w:numId w:val="77"/>
        </w:numPr>
      </w:pPr>
      <w:r>
        <w:rPr>
          <w:rFonts w:hint="eastAsia"/>
        </w:rPr>
        <w:t>室外化粪池系统通畅情况；</w:t>
      </w:r>
    </w:p>
    <w:p>
      <w:pPr>
        <w:pStyle w:val="178"/>
        <w:numPr>
          <w:ilvl w:val="0"/>
          <w:numId w:val="77"/>
        </w:numPr>
      </w:pPr>
      <w:r>
        <w:rPr>
          <w:rFonts w:hint="eastAsia"/>
        </w:rPr>
        <w:t>排水和雨水系统通水对环境的污染情况。</w:t>
      </w:r>
    </w:p>
    <w:p>
      <w:pPr>
        <w:pStyle w:val="216"/>
      </w:pPr>
      <w:r>
        <w:t>综合检查应包括对给水排水系统的使用功能、环境保护与卫生、系统安全性三类内容的检查</w:t>
      </w:r>
      <w:r>
        <w:rPr>
          <w:rFonts w:hint="eastAsia"/>
        </w:rPr>
        <w:t>，按表D.1进行相关项目检查。</w:t>
      </w:r>
    </w:p>
    <w:p>
      <w:pPr>
        <w:widowControl/>
        <w:spacing w:line="360" w:lineRule="auto"/>
        <w:jc w:val="center"/>
        <w:rPr>
          <w:rFonts w:hint="eastAsia" w:ascii="黑体" w:hAnsi="黑体" w:eastAsia="黑体" w:cs="黑体"/>
          <w:szCs w:val="32"/>
        </w:rPr>
        <w:sectPr>
          <w:pgSz w:w="11905" w:h="16838"/>
          <w:pgMar w:top="1417" w:right="1134" w:bottom="1134" w:left="1247" w:header="850" w:footer="992" w:gutter="0"/>
          <w:cols w:space="0" w:num="1"/>
          <w:docGrid w:type="lines" w:linePitch="332" w:charSpace="0"/>
        </w:sectPr>
      </w:pPr>
    </w:p>
    <w:p>
      <w:pPr>
        <w:pStyle w:val="81"/>
        <w:spacing w:before="156" w:after="156"/>
      </w:pPr>
      <w:r>
        <w:rPr>
          <w:rFonts w:hint="eastAsia"/>
        </w:rPr>
        <w:t>给排水系统综合检查内容一览表</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1462"/>
        <w:gridCol w:w="4020"/>
        <w:gridCol w:w="407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1485" w:type="dxa"/>
            <w:tcBorders>
              <w:bottom w:val="single" w:color="auto" w:sz="8" w:space="0"/>
            </w:tcBorders>
            <w:vAlign w:val="center"/>
          </w:tcPr>
          <w:p>
            <w:pPr>
              <w:jc w:val="center"/>
            </w:pPr>
            <w:r>
              <w:rPr>
                <w:rFonts w:hint="eastAsia"/>
              </w:rPr>
              <w:t>检查类别</w:t>
            </w:r>
          </w:p>
        </w:tc>
        <w:tc>
          <w:tcPr>
            <w:tcW w:w="4093" w:type="dxa"/>
            <w:tcBorders>
              <w:bottom w:val="single" w:color="auto" w:sz="8" w:space="0"/>
            </w:tcBorders>
            <w:vAlign w:val="center"/>
          </w:tcPr>
          <w:p>
            <w:pPr>
              <w:jc w:val="center"/>
            </w:pPr>
            <w:r>
              <w:rPr>
                <w:rFonts w:hint="eastAsia"/>
              </w:rPr>
              <w:t>给水系统检查内容</w:t>
            </w:r>
          </w:p>
        </w:tc>
        <w:tc>
          <w:tcPr>
            <w:tcW w:w="4146" w:type="dxa"/>
            <w:tcBorders>
              <w:bottom w:val="single" w:color="auto" w:sz="8" w:space="0"/>
            </w:tcBorders>
            <w:vAlign w:val="center"/>
          </w:tcPr>
          <w:p>
            <w:pPr>
              <w:jc w:val="center"/>
            </w:pPr>
            <w:r>
              <w:rPr>
                <w:rFonts w:hint="eastAsia"/>
              </w:rPr>
              <w:t>排水系统检查内容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485" w:type="dxa"/>
            <w:tcBorders>
              <w:top w:val="single" w:color="auto" w:sz="8" w:space="0"/>
            </w:tcBorders>
            <w:vAlign w:val="center"/>
          </w:tcPr>
          <w:p>
            <w:pPr>
              <w:jc w:val="center"/>
              <w:rPr>
                <w:rFonts w:ascii="宋体" w:hAnsi="宋体" w:cs="宋体"/>
              </w:rPr>
            </w:pPr>
            <w:r>
              <w:rPr>
                <w:rFonts w:hint="eastAsia" w:ascii="宋体" w:hAnsi="宋体" w:cs="宋体"/>
              </w:rPr>
              <w:t>使用功能</w:t>
            </w:r>
          </w:p>
        </w:tc>
        <w:tc>
          <w:tcPr>
            <w:tcW w:w="4093" w:type="dxa"/>
            <w:tcBorders>
              <w:top w:val="single" w:color="auto" w:sz="8" w:space="0"/>
            </w:tcBorders>
            <w:vAlign w:val="center"/>
          </w:tcPr>
          <w:p>
            <w:pPr>
              <w:rPr>
                <w:rFonts w:ascii="宋体" w:hAnsi="宋体" w:cs="宋体"/>
              </w:rPr>
            </w:pPr>
            <w:r>
              <w:rPr>
                <w:rFonts w:hint="eastAsia" w:ascii="宋体" w:hAnsi="宋体" w:cs="宋体"/>
              </w:rPr>
              <w:t>检查给水子系统用水量、压力。</w:t>
            </w:r>
          </w:p>
          <w:p>
            <w:pPr>
              <w:rPr>
                <w:rFonts w:ascii="宋体" w:hAnsi="宋体" w:cs="宋体"/>
              </w:rPr>
            </w:pPr>
            <w:r>
              <w:rPr>
                <w:rFonts w:hint="eastAsia" w:ascii="宋体" w:hAnsi="宋体" w:cs="宋体"/>
              </w:rPr>
              <w:t>给水水泵运行状况。</w:t>
            </w:r>
          </w:p>
          <w:p>
            <w:pPr>
              <w:rPr>
                <w:rFonts w:ascii="宋体" w:hAnsi="宋体" w:cs="宋体"/>
              </w:rPr>
            </w:pPr>
            <w:r>
              <w:rPr>
                <w:rFonts w:hint="eastAsia" w:ascii="宋体" w:hAnsi="宋体" w:cs="宋体"/>
              </w:rPr>
              <w:t>给水管道及管件的完整性。</w:t>
            </w:r>
          </w:p>
          <w:p>
            <w:pPr>
              <w:rPr>
                <w:rFonts w:ascii="宋体" w:hAnsi="宋体" w:cs="宋体"/>
              </w:rPr>
            </w:pPr>
            <w:r>
              <w:rPr>
                <w:rFonts w:hint="eastAsia" w:ascii="宋体" w:hAnsi="宋体" w:cs="宋体"/>
              </w:rPr>
              <w:t>给水管道防腐防锈。</w:t>
            </w:r>
          </w:p>
          <w:p>
            <w:pPr>
              <w:rPr>
                <w:rFonts w:ascii="宋体" w:hAnsi="宋体" w:cs="宋体"/>
              </w:rPr>
            </w:pPr>
            <w:r>
              <w:rPr>
                <w:rFonts w:hint="eastAsia" w:ascii="宋体" w:hAnsi="宋体" w:cs="宋体"/>
              </w:rPr>
              <w:t>阀门有效性。</w:t>
            </w:r>
          </w:p>
          <w:p>
            <w:pPr>
              <w:rPr>
                <w:rFonts w:ascii="宋体" w:hAnsi="宋体" w:cs="宋体"/>
              </w:rPr>
            </w:pPr>
            <w:r>
              <w:rPr>
                <w:rFonts w:hint="eastAsia" w:ascii="宋体" w:hAnsi="宋体" w:cs="宋体"/>
              </w:rPr>
              <w:t>室外给水管道附属设施。</w:t>
            </w:r>
          </w:p>
        </w:tc>
        <w:tc>
          <w:tcPr>
            <w:tcW w:w="4146" w:type="dxa"/>
            <w:tcBorders>
              <w:top w:val="single" w:color="auto" w:sz="8" w:space="0"/>
            </w:tcBorders>
            <w:vAlign w:val="center"/>
          </w:tcPr>
          <w:p>
            <w:pPr>
              <w:rPr>
                <w:rFonts w:ascii="宋体" w:hAnsi="宋体" w:cs="宋体"/>
              </w:rPr>
            </w:pPr>
            <w:r>
              <w:rPr>
                <w:rFonts w:hint="eastAsia" w:ascii="宋体" w:hAnsi="宋体" w:cs="宋体"/>
              </w:rPr>
              <w:t>室内生活排水系统的通水能力。</w:t>
            </w:r>
          </w:p>
          <w:p>
            <w:pPr>
              <w:rPr>
                <w:rFonts w:ascii="宋体" w:hAnsi="宋体" w:cs="宋体"/>
              </w:rPr>
            </w:pPr>
            <w:r>
              <w:rPr>
                <w:rFonts w:hint="eastAsia" w:ascii="宋体" w:hAnsi="宋体" w:cs="宋体"/>
              </w:rPr>
              <w:t>卫生器具和地漏盛水、通水能力及完好度。</w:t>
            </w:r>
          </w:p>
          <w:p>
            <w:pPr>
              <w:rPr>
                <w:rFonts w:ascii="宋体" w:hAnsi="宋体" w:cs="宋体"/>
              </w:rPr>
            </w:pPr>
            <w:r>
              <w:rPr>
                <w:rFonts w:hint="eastAsia" w:ascii="宋体" w:hAnsi="宋体" w:cs="宋体"/>
              </w:rPr>
              <w:t>地下室集水坑排水。</w:t>
            </w:r>
          </w:p>
          <w:p>
            <w:pPr>
              <w:rPr>
                <w:rFonts w:ascii="宋体" w:hAnsi="宋体" w:cs="宋体"/>
              </w:rPr>
            </w:pPr>
            <w:r>
              <w:rPr>
                <w:rFonts w:hint="eastAsia" w:ascii="宋体" w:hAnsi="宋体" w:cs="宋体"/>
              </w:rPr>
              <w:t>排水管网的管道通水能力。</w:t>
            </w:r>
          </w:p>
          <w:p>
            <w:pPr>
              <w:rPr>
                <w:rFonts w:ascii="宋体" w:hAnsi="宋体" w:cs="宋体"/>
              </w:rPr>
            </w:pPr>
            <w:r>
              <w:rPr>
                <w:rFonts w:hint="eastAsia" w:ascii="宋体" w:hAnsi="宋体" w:cs="宋体"/>
              </w:rPr>
              <w:t>室内排水管道管件完整性和防腐防锈情况。</w:t>
            </w:r>
          </w:p>
          <w:p>
            <w:pPr>
              <w:rPr>
                <w:rFonts w:ascii="宋体" w:hAnsi="宋体" w:cs="宋体"/>
              </w:rPr>
            </w:pPr>
            <w:r>
              <w:rPr>
                <w:rFonts w:hint="eastAsia" w:ascii="宋体" w:hAnsi="宋体" w:cs="宋体"/>
              </w:rPr>
              <w:t>流泥井、化粪池等室外排水附属设施情况。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485" w:type="dxa"/>
            <w:vAlign w:val="center"/>
          </w:tcPr>
          <w:p>
            <w:pPr>
              <w:jc w:val="center"/>
              <w:rPr>
                <w:rFonts w:ascii="宋体" w:hAnsi="宋体" w:cs="宋体"/>
              </w:rPr>
            </w:pPr>
            <w:r>
              <w:rPr>
                <w:rFonts w:hint="eastAsia" w:ascii="宋体" w:hAnsi="宋体" w:cs="宋体"/>
              </w:rPr>
              <w:t>环境保护</w:t>
            </w:r>
          </w:p>
          <w:p>
            <w:pPr>
              <w:jc w:val="center"/>
              <w:rPr>
                <w:rFonts w:ascii="宋体" w:hAnsi="宋体" w:cs="宋体"/>
              </w:rPr>
            </w:pPr>
            <w:r>
              <w:rPr>
                <w:rFonts w:hint="eastAsia" w:ascii="宋体" w:hAnsi="宋体" w:cs="宋体"/>
              </w:rPr>
              <w:t>与卫生</w:t>
            </w:r>
          </w:p>
        </w:tc>
        <w:tc>
          <w:tcPr>
            <w:tcW w:w="4093" w:type="dxa"/>
            <w:vAlign w:val="center"/>
          </w:tcPr>
          <w:p>
            <w:pPr>
              <w:rPr>
                <w:rFonts w:ascii="宋体" w:hAnsi="宋体" w:cs="宋体"/>
              </w:rPr>
            </w:pPr>
            <w:r>
              <w:rPr>
                <w:rFonts w:hint="eastAsia" w:ascii="宋体" w:hAnsi="宋体" w:cs="宋体"/>
              </w:rPr>
              <w:t>用水点出水水质。</w:t>
            </w:r>
          </w:p>
          <w:p>
            <w:pPr>
              <w:rPr>
                <w:rFonts w:ascii="宋体" w:hAnsi="宋体" w:cs="宋体"/>
              </w:rPr>
            </w:pPr>
            <w:r>
              <w:rPr>
                <w:rFonts w:hint="eastAsia" w:ascii="宋体" w:hAnsi="宋体" w:cs="宋体"/>
              </w:rPr>
              <w:t>水池、水箱的卫生状况。</w:t>
            </w:r>
          </w:p>
          <w:p>
            <w:pPr>
              <w:rPr>
                <w:rFonts w:ascii="宋体" w:hAnsi="宋体" w:cs="宋体"/>
              </w:rPr>
            </w:pPr>
            <w:r>
              <w:rPr>
                <w:rFonts w:hint="eastAsia" w:ascii="宋体" w:hAnsi="宋体" w:cs="宋体"/>
              </w:rPr>
              <w:t>管材、设备、器件的卫生质量。</w:t>
            </w:r>
          </w:p>
        </w:tc>
        <w:tc>
          <w:tcPr>
            <w:tcW w:w="4146" w:type="dxa"/>
            <w:vAlign w:val="center"/>
          </w:tcPr>
          <w:p>
            <w:pPr>
              <w:rPr>
                <w:rFonts w:ascii="宋体" w:hAnsi="宋体" w:cs="宋体"/>
              </w:rPr>
            </w:pPr>
            <w:r>
              <w:rPr>
                <w:rFonts w:hint="eastAsia" w:ascii="宋体" w:hAnsi="宋体" w:cs="宋体"/>
              </w:rPr>
              <w:t>系统渗漏等情况对环境的污染。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485" w:type="dxa"/>
            <w:vAlign w:val="center"/>
          </w:tcPr>
          <w:p>
            <w:pPr>
              <w:jc w:val="center"/>
              <w:rPr>
                <w:rFonts w:ascii="宋体" w:hAnsi="宋体" w:cs="宋体"/>
              </w:rPr>
            </w:pPr>
            <w:r>
              <w:rPr>
                <w:rFonts w:hint="eastAsia" w:ascii="宋体" w:hAnsi="宋体" w:cs="宋体"/>
              </w:rPr>
              <w:t>系统安全</w:t>
            </w:r>
          </w:p>
        </w:tc>
        <w:tc>
          <w:tcPr>
            <w:tcW w:w="4093" w:type="dxa"/>
            <w:vAlign w:val="center"/>
          </w:tcPr>
          <w:p>
            <w:pPr>
              <w:rPr>
                <w:rFonts w:ascii="宋体" w:hAnsi="宋体" w:cs="宋体"/>
              </w:rPr>
            </w:pPr>
            <w:r>
              <w:rPr>
                <w:rFonts w:hint="eastAsia" w:ascii="宋体" w:hAnsi="宋体" w:cs="宋体"/>
              </w:rPr>
              <w:t>管道的承压能力。</w:t>
            </w:r>
          </w:p>
          <w:p>
            <w:pPr>
              <w:rPr>
                <w:rFonts w:ascii="宋体" w:hAnsi="宋体" w:cs="宋体"/>
              </w:rPr>
            </w:pPr>
            <w:r>
              <w:rPr>
                <w:rFonts w:hint="eastAsia" w:ascii="宋体" w:hAnsi="宋体" w:cs="宋体"/>
              </w:rPr>
              <w:t>设备使用的可靠性。</w:t>
            </w:r>
          </w:p>
          <w:p>
            <w:pPr>
              <w:rPr>
                <w:rFonts w:ascii="宋体" w:hAnsi="宋体" w:cs="宋体"/>
              </w:rPr>
            </w:pPr>
            <w:r>
              <w:rPr>
                <w:rFonts w:hint="eastAsia" w:ascii="宋体" w:hAnsi="宋体" w:cs="宋体"/>
              </w:rPr>
              <w:t>机电设备配电安全性。</w:t>
            </w:r>
          </w:p>
          <w:p>
            <w:pPr>
              <w:rPr>
                <w:rFonts w:ascii="宋体" w:hAnsi="宋体" w:cs="宋体"/>
              </w:rPr>
            </w:pPr>
            <w:r>
              <w:rPr>
                <w:rFonts w:hint="eastAsia" w:ascii="宋体" w:hAnsi="宋体" w:cs="宋体"/>
              </w:rPr>
              <w:t>给水管道及设备与结构主体连接是否可靠。</w:t>
            </w:r>
          </w:p>
        </w:tc>
        <w:tc>
          <w:tcPr>
            <w:tcW w:w="4146" w:type="dxa"/>
            <w:vAlign w:val="center"/>
          </w:tcPr>
          <w:p>
            <w:pPr>
              <w:rPr>
                <w:rFonts w:ascii="宋体" w:hAnsi="宋体" w:cs="宋体"/>
              </w:rPr>
            </w:pPr>
            <w:r>
              <w:rPr>
                <w:rFonts w:hint="eastAsia" w:ascii="宋体" w:hAnsi="宋体" w:cs="宋体"/>
              </w:rPr>
              <w:t>强制排水系统设备配电等方面安全性。</w:t>
            </w:r>
          </w:p>
          <w:p>
            <w:pPr>
              <w:rPr>
                <w:rFonts w:ascii="宋体" w:hAnsi="宋体" w:cs="宋体"/>
              </w:rPr>
            </w:pPr>
            <w:r>
              <w:rPr>
                <w:rFonts w:hint="eastAsia" w:ascii="宋体" w:hAnsi="宋体" w:cs="宋体"/>
              </w:rPr>
              <w:t>排水系统渗漏对机房等重要场所是否有潜在影响的隐患。</w:t>
            </w:r>
          </w:p>
        </w:tc>
      </w:tr>
    </w:tbl>
    <w:p>
      <w:pPr>
        <w:pStyle w:val="216"/>
      </w:pPr>
      <w:r>
        <w:rPr>
          <w:rFonts w:hint="eastAsia"/>
        </w:rPr>
        <w:t>给排水检查评定分级A、B、C三级，检查时按楼层或分区单元作为一个检查点，检查点评定结果按下列标准分级处理：</w:t>
      </w:r>
    </w:p>
    <w:p>
      <w:pPr>
        <w:pStyle w:val="178"/>
        <w:numPr>
          <w:ilvl w:val="0"/>
          <w:numId w:val="78"/>
        </w:numPr>
      </w:pPr>
      <w:r>
        <w:rPr>
          <w:rFonts w:hint="eastAsia"/>
        </w:rPr>
        <w:t>A级：具有正常使用功能，符合卫生标准，安全性指标符合标准，不必采取措施；</w:t>
      </w:r>
    </w:p>
    <w:p>
      <w:pPr>
        <w:pStyle w:val="178"/>
        <w:numPr>
          <w:ilvl w:val="0"/>
          <w:numId w:val="78"/>
        </w:numPr>
      </w:pPr>
      <w:r>
        <w:rPr>
          <w:rFonts w:hint="eastAsia"/>
        </w:rPr>
        <w:t>B级：功能稍差，尚能使用，给排水水质指标部分超标，安全性指标略低于标准要求，可局部采取措施更新、改造；</w:t>
      </w:r>
    </w:p>
    <w:p>
      <w:pPr>
        <w:pStyle w:val="178"/>
        <w:numPr>
          <w:ilvl w:val="0"/>
          <w:numId w:val="78"/>
        </w:numPr>
      </w:pPr>
      <w:r>
        <w:rPr>
          <w:rFonts w:hint="eastAsia"/>
        </w:rPr>
        <w:t>C级：功能较差或无法使用，给排水水质指标严重超标，安全性指标远低于标准要求，存在漏电、爆管和严重渗漏等安全隐患，应采取措施更新、改造。</w:t>
      </w:r>
    </w:p>
    <w:p>
      <w:pPr>
        <w:pStyle w:val="82"/>
        <w:spacing w:before="156" w:after="156"/>
      </w:pPr>
      <w:bookmarkStart w:id="310" w:name="_Toc5900"/>
      <w:bookmarkStart w:id="311" w:name="_Toc26972"/>
      <w:bookmarkStart w:id="312" w:name="_Toc16249"/>
      <w:bookmarkStart w:id="313" w:name="_Toc31896"/>
      <w:bookmarkStart w:id="314" w:name="_Toc24928"/>
      <w:bookmarkStart w:id="315" w:name="_Toc17253"/>
      <w:bookmarkStart w:id="316" w:name="_Toc7537"/>
      <w:bookmarkStart w:id="317" w:name="_Toc241609821"/>
      <w:bookmarkStart w:id="318" w:name="_Toc241610337"/>
      <w:bookmarkStart w:id="319" w:name="_Toc7808"/>
      <w:bookmarkStart w:id="320" w:name="_Toc14942"/>
      <w:bookmarkStart w:id="321" w:name="_Toc19507"/>
      <w:bookmarkStart w:id="322" w:name="_Toc7227"/>
      <w:bookmarkStart w:id="323" w:name="_Toc23305"/>
      <w:bookmarkStart w:id="324" w:name="_Toc20159"/>
      <w:bookmarkStart w:id="325" w:name="_Toc21427"/>
      <w:r>
        <w:rPr>
          <w:rFonts w:hint="eastAsia"/>
        </w:rPr>
        <w:t>给排水系统维修</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216"/>
      </w:pPr>
      <w:r>
        <w:rPr>
          <w:rFonts w:hint="eastAsia"/>
        </w:rPr>
        <w:t>给排水系统的大、中、小修应由具有专业设计资质的单位出具维修方案。大中小修方案至少应包括下列内容：</w:t>
      </w:r>
    </w:p>
    <w:p>
      <w:pPr>
        <w:pStyle w:val="178"/>
        <w:numPr>
          <w:ilvl w:val="0"/>
          <w:numId w:val="79"/>
        </w:numPr>
      </w:pPr>
      <w:r>
        <w:rPr>
          <w:rFonts w:hint="eastAsia"/>
        </w:rPr>
        <w:t>建筑基本概况（包括建筑面积、建筑年代、建筑高度以及平面布置等）；</w:t>
      </w:r>
    </w:p>
    <w:p>
      <w:pPr>
        <w:pStyle w:val="178"/>
        <w:numPr>
          <w:ilvl w:val="0"/>
          <w:numId w:val="79"/>
        </w:numPr>
      </w:pPr>
      <w:r>
        <w:rPr>
          <w:rFonts w:hint="eastAsia"/>
        </w:rPr>
        <w:t>给排水系统现状（包括给水/排水方式、系统形式，给水/排水设备的参数、数量、运行现状，器具、给水配件、管材等使用状况）；</w:t>
      </w:r>
    </w:p>
    <w:p>
      <w:pPr>
        <w:pStyle w:val="178"/>
        <w:numPr>
          <w:ilvl w:val="0"/>
          <w:numId w:val="79"/>
        </w:numPr>
      </w:pPr>
      <w:r>
        <w:rPr>
          <w:rFonts w:hint="eastAsia"/>
        </w:rPr>
        <w:t>给排水系统的检查与评定结果（包括检查内容和检查结果）；</w:t>
      </w:r>
    </w:p>
    <w:p>
      <w:pPr>
        <w:pStyle w:val="178"/>
        <w:numPr>
          <w:ilvl w:val="0"/>
          <w:numId w:val="79"/>
        </w:numPr>
      </w:pPr>
      <w:r>
        <w:rPr>
          <w:rFonts w:hint="eastAsia"/>
        </w:rPr>
        <w:t>给排水系统大中小修的可行性方案；</w:t>
      </w:r>
    </w:p>
    <w:p>
      <w:pPr>
        <w:pStyle w:val="178"/>
        <w:numPr>
          <w:ilvl w:val="0"/>
          <w:numId w:val="79"/>
        </w:numPr>
      </w:pPr>
      <w:r>
        <w:rPr>
          <w:rFonts w:hint="eastAsia"/>
        </w:rPr>
        <w:t>维修改造方案（包括维修改造内容、初步设计方案、需更换的设备、器具、材料以</w:t>
      </w:r>
      <w:r>
        <w:t>及工程施工周期等）。</w:t>
      </w:r>
    </w:p>
    <w:p>
      <w:pPr>
        <w:pStyle w:val="216"/>
      </w:pPr>
      <w:r>
        <w:t>除特殊情况外，给水排水系统的</w:t>
      </w:r>
      <w:r>
        <w:rPr>
          <w:rFonts w:hint="eastAsia"/>
        </w:rPr>
        <w:t>大中小修</w:t>
      </w:r>
      <w:r>
        <w:t>，宜与其他相关系统的</w:t>
      </w:r>
      <w:r>
        <w:rPr>
          <w:rFonts w:hint="eastAsia"/>
        </w:rPr>
        <w:t>大中小修</w:t>
      </w:r>
      <w:r>
        <w:t>同时进行安排。</w:t>
      </w:r>
    </w:p>
    <w:p>
      <w:pPr>
        <w:pStyle w:val="216"/>
      </w:pPr>
      <w:r>
        <w:t>经</w:t>
      </w:r>
      <w:r>
        <w:rPr>
          <w:rFonts w:hint="eastAsia"/>
        </w:rPr>
        <w:t>大中小修后</w:t>
      </w:r>
      <w:r>
        <w:t>的给水排水系统，其主要材料、设备、器具性能及节能、节水效率应符合国家现行有关标准的规定</w:t>
      </w:r>
      <w:r>
        <w:rPr>
          <w:rFonts w:hint="eastAsia"/>
        </w:rPr>
        <w:t>，</w:t>
      </w:r>
      <w:r>
        <w:t>其预期正常使用年限不宜低于15年。</w:t>
      </w:r>
    </w:p>
    <w:p>
      <w:pPr>
        <w:pStyle w:val="216"/>
      </w:pPr>
      <w:r>
        <w:rPr>
          <w:rFonts w:hint="eastAsia"/>
        </w:rPr>
        <w:t>管道试压、冲洗</w:t>
      </w:r>
      <w:bookmarkStart w:id="326" w:name="____3、消防管道试压："/>
      <w:bookmarkEnd w:id="326"/>
      <w:bookmarkStart w:id="327" w:name="____给水管的试压方法按《建筑给水排水及采暖工程施工质量验收规范》（GB_50"/>
      <w:bookmarkEnd w:id="327"/>
      <w:r>
        <w:rPr>
          <w:rFonts w:hint="eastAsia"/>
        </w:rPr>
        <w:t>：管道安装完成后，应根据规范进行试压和冲洗：</w:t>
      </w:r>
    </w:p>
    <w:p>
      <w:pPr>
        <w:pStyle w:val="178"/>
        <w:numPr>
          <w:ilvl w:val="0"/>
          <w:numId w:val="80"/>
        </w:numPr>
      </w:pPr>
      <w:r>
        <w:rPr>
          <w:rFonts w:hint="eastAsia"/>
        </w:rPr>
        <w:t>给水管的试压按GB 50242-2002的第4.2.1条规定执行；</w:t>
      </w:r>
    </w:p>
    <w:p>
      <w:pPr>
        <w:pStyle w:val="178"/>
        <w:numPr>
          <w:ilvl w:val="0"/>
          <w:numId w:val="80"/>
        </w:numPr>
      </w:pPr>
      <w:r>
        <w:rPr>
          <w:rFonts w:hint="eastAsia"/>
        </w:rPr>
        <w:t>消火栓消防给水管和自动喷水灭火系统管道的试压方法按GB 50261-2017的第6.2条、GB 50974-2014 第13章规定执行；</w:t>
      </w:r>
    </w:p>
    <w:p>
      <w:pPr>
        <w:pStyle w:val="178"/>
        <w:numPr>
          <w:ilvl w:val="0"/>
          <w:numId w:val="80"/>
        </w:numPr>
      </w:pPr>
      <w:r>
        <w:rPr>
          <w:rFonts w:hint="eastAsia"/>
        </w:rPr>
        <w:t>地下室提升的压力排水管道，按水泵扬程的2倍做水压试验，保持30分钟无渗漏为合格。</w:t>
      </w:r>
    </w:p>
    <w:p>
      <w:pPr>
        <w:pStyle w:val="216"/>
      </w:pPr>
      <w:r>
        <w:rPr>
          <w:rFonts w:hint="eastAsia"/>
        </w:rPr>
        <w:t>给排水系统维修，有设计要求的，按设计要求，设计未明确的，执行现行的规范和设计要求。</w:t>
      </w:r>
    </w:p>
    <w:p>
      <w:pPr>
        <w:pStyle w:val="82"/>
        <w:spacing w:before="156" w:after="156"/>
      </w:pPr>
      <w:bookmarkStart w:id="328" w:name="_Toc15879"/>
      <w:bookmarkStart w:id="329" w:name="_Toc23779"/>
      <w:bookmarkStart w:id="330" w:name="_Toc10480"/>
      <w:bookmarkStart w:id="331" w:name="_Toc241609822"/>
      <w:bookmarkStart w:id="332" w:name="_Toc22446"/>
      <w:bookmarkStart w:id="333" w:name="_Toc10426"/>
      <w:bookmarkStart w:id="334" w:name="_Toc241610338"/>
      <w:bookmarkStart w:id="335" w:name="_Toc20382"/>
      <w:bookmarkStart w:id="336" w:name="_Toc580"/>
      <w:bookmarkStart w:id="337" w:name="_Toc3370"/>
      <w:bookmarkStart w:id="338" w:name="_Toc16672"/>
      <w:bookmarkStart w:id="339" w:name="_Toc17118"/>
      <w:bookmarkStart w:id="340" w:name="_Toc17030"/>
      <w:bookmarkStart w:id="341" w:name="_Toc28249"/>
      <w:bookmarkStart w:id="342" w:name="_Toc27864"/>
      <w:bookmarkStart w:id="343" w:name="_Toc19253"/>
      <w:r>
        <w:rPr>
          <w:rFonts w:hint="eastAsia"/>
        </w:rPr>
        <w:t>给排水系统维修常见设备材料选用</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216"/>
      </w:pPr>
      <w:r>
        <w:rPr>
          <w:rFonts w:hint="eastAsia"/>
        </w:rPr>
        <w:t>给排水系统施工维修时，应按维修方案和设计要求进行维修施工，主要材料和设备选用参照下列要求：</w:t>
      </w:r>
    </w:p>
    <w:p>
      <w:pPr>
        <w:pStyle w:val="178"/>
        <w:numPr>
          <w:ilvl w:val="0"/>
          <w:numId w:val="81"/>
        </w:numPr>
      </w:pPr>
      <w:r>
        <w:rPr>
          <w:rFonts w:hint="eastAsia"/>
        </w:rPr>
        <w:t>室内生活给水管（含热水管）采用国标 PPR 冷、热水管(热熔接)或符合饮用水标准的304 不锈钢管。管道连接方式按材质根设计、规范要求进行连接；</w:t>
      </w:r>
    </w:p>
    <w:p>
      <w:pPr>
        <w:pStyle w:val="178"/>
        <w:numPr>
          <w:ilvl w:val="0"/>
          <w:numId w:val="81"/>
        </w:numPr>
      </w:pPr>
      <w:r>
        <w:rPr>
          <w:rFonts w:hint="eastAsia"/>
        </w:rPr>
        <w:t>室外给水管、空调管、消防管，管径大于100mm的管路，采用无缝钢管。小于或等于100的采用热浸镀锌钢管，管道安装方式按现行规范要求；</w:t>
      </w:r>
    </w:p>
    <w:p>
      <w:pPr>
        <w:pStyle w:val="178"/>
        <w:numPr>
          <w:ilvl w:val="0"/>
          <w:numId w:val="81"/>
        </w:numPr>
      </w:pPr>
      <w:r>
        <w:rPr>
          <w:rFonts w:hint="eastAsia"/>
        </w:rPr>
        <w:t>室内外污水排水管道、雨水管道、空调冷凝水排水管管道采用U—PVC塑料排水管。管道安装方式按照规范要求；</w:t>
      </w:r>
    </w:p>
    <w:p>
      <w:pPr>
        <w:pStyle w:val="178"/>
        <w:numPr>
          <w:ilvl w:val="0"/>
          <w:numId w:val="81"/>
        </w:numPr>
      </w:pPr>
      <w:r>
        <w:rPr>
          <w:rFonts w:hint="eastAsia"/>
        </w:rPr>
        <w:t>室外雨、污水埋地管采用 HDPE 双壁波纹塑料管（SN8系列），采用密封胶圈，承插连接，管道基础及回填厚度按规范要求；</w:t>
      </w:r>
    </w:p>
    <w:p>
      <w:pPr>
        <w:pStyle w:val="178"/>
        <w:numPr>
          <w:ilvl w:val="0"/>
          <w:numId w:val="81"/>
        </w:numPr>
      </w:pPr>
      <w:r>
        <w:rPr>
          <w:rFonts w:hint="eastAsia"/>
        </w:rPr>
        <w:t>给排水系统中所选用的设备、成品设施，如水泵、成品水箱、成品化粪池等，选用时，均应符合规范要求和使用功能要求，考虑一定的前瞻性冗余。</w:t>
      </w:r>
    </w:p>
    <w:p>
      <w:pPr>
        <w:pStyle w:val="216"/>
      </w:pPr>
      <w:r>
        <w:rPr>
          <w:rFonts w:hint="eastAsia"/>
        </w:rPr>
        <w:t>给排水系统中的阀门、附件维修频率最高的部分，维修更换应注意材料质量和选型，原则上执行下列要求：</w:t>
      </w:r>
    </w:p>
    <w:p>
      <w:pPr>
        <w:pStyle w:val="178"/>
        <w:numPr>
          <w:ilvl w:val="0"/>
          <w:numId w:val="82"/>
        </w:numPr>
      </w:pPr>
      <w:r>
        <w:rPr>
          <w:rFonts w:hint="eastAsia"/>
        </w:rPr>
        <w:t>公称直径≧DN50的给水管道，选用铜杆铜芯闸阀或不锈钢阀门；公称直径小于DN50的给水管道，选用铜杆铜芯截止阀；</w:t>
      </w:r>
    </w:p>
    <w:p>
      <w:pPr>
        <w:pStyle w:val="178"/>
        <w:numPr>
          <w:ilvl w:val="0"/>
          <w:numId w:val="82"/>
        </w:numPr>
      </w:pPr>
      <w:r>
        <w:rPr>
          <w:rFonts w:hint="eastAsia"/>
        </w:rPr>
        <w:t>高位水箱、消防水箱的进、出水管应设置带有指示启闭装置的阀门，且安装带锁具的阀门箱等保护措施；</w:t>
      </w:r>
    </w:p>
    <w:p>
      <w:pPr>
        <w:pStyle w:val="178"/>
        <w:numPr>
          <w:ilvl w:val="0"/>
          <w:numId w:val="82"/>
        </w:numPr>
      </w:pPr>
      <w:r>
        <w:rPr>
          <w:rFonts w:hint="eastAsia"/>
        </w:rPr>
        <w:t>消防水系统、空调水系统管道上的阀门，按相应规范要求进行选用；</w:t>
      </w:r>
    </w:p>
    <w:p>
      <w:pPr>
        <w:pStyle w:val="178"/>
        <w:numPr>
          <w:ilvl w:val="0"/>
          <w:numId w:val="82"/>
        </w:numPr>
      </w:pPr>
      <w:r>
        <w:rPr>
          <w:rFonts w:hint="eastAsia"/>
        </w:rPr>
        <w:t>埋地管道上安装的阀门，应采用耐腐蚀的明杆闸阀，阀体均为球墨铸铁材质。低区阀门压力等级采用 PN10、高区阀门压力等级采用PN16；</w:t>
      </w:r>
    </w:p>
    <w:p>
      <w:pPr>
        <w:pStyle w:val="178"/>
        <w:numPr>
          <w:ilvl w:val="0"/>
          <w:numId w:val="82"/>
        </w:numPr>
      </w:pPr>
      <w:r>
        <w:rPr>
          <w:rFonts w:hint="eastAsia"/>
        </w:rPr>
        <w:t>潜污泵压力排水管上采用闸阀和止回阀，阀体为球墨铸铁材质；</w:t>
      </w:r>
    </w:p>
    <w:p>
      <w:pPr>
        <w:pStyle w:val="178"/>
        <w:numPr>
          <w:ilvl w:val="0"/>
          <w:numId w:val="82"/>
        </w:numPr>
      </w:pPr>
      <w:r>
        <w:rPr>
          <w:rFonts w:hint="eastAsia"/>
        </w:rPr>
        <w:t>污、废水地漏材质应为铜质或不锈钢，地漏水封深度不小于50mm。不常用水点的地漏，如管井内地漏，应采用密闭防臭地漏；</w:t>
      </w:r>
    </w:p>
    <w:p>
      <w:pPr>
        <w:pStyle w:val="178"/>
        <w:numPr>
          <w:ilvl w:val="0"/>
          <w:numId w:val="82"/>
        </w:numPr>
      </w:pPr>
      <w:r>
        <w:rPr>
          <w:rFonts w:hint="eastAsia"/>
        </w:rPr>
        <w:t>水表公称直径≤DN50采用旋翼式水表，公称直径</w:t>
      </w:r>
      <w:r>
        <w:rPr>
          <w:rFonts w:hint="eastAsia" w:hAnsi="宋体" w:cs="宋体"/>
        </w:rPr>
        <w:t>＞</w:t>
      </w:r>
      <w:r>
        <w:rPr>
          <w:rFonts w:hint="eastAsia"/>
        </w:rPr>
        <w:t>DN50采用螺翼式水表；也可按供水单位要求使用预付费表；</w:t>
      </w:r>
    </w:p>
    <w:p>
      <w:pPr>
        <w:pStyle w:val="178"/>
        <w:numPr>
          <w:ilvl w:val="0"/>
          <w:numId w:val="82"/>
        </w:numPr>
      </w:pPr>
      <w:r>
        <w:rPr>
          <w:rFonts w:hint="eastAsia"/>
        </w:rPr>
        <w:t>室内消火栓箱采用钢质白色磨砂玻璃门消火栓箱或按设计要求，箱体尺寸及安装方式等按规范要求。</w:t>
      </w:r>
    </w:p>
    <w:p>
      <w:pPr>
        <w:pStyle w:val="216"/>
      </w:pPr>
      <w:r>
        <w:rPr>
          <w:rFonts w:hint="eastAsia"/>
        </w:rPr>
        <w:t>管道维修时，</w:t>
      </w:r>
      <w:r>
        <w:t>做好防腐及油漆涂刷工作。涂刷底漆前， 应清除表面的灰尘、污垢、锈斑、焊渣等杂物。涂刷油漆厚度应均匀，不得有脱皮、起泡、流淌和漏涂现象。管道支架除锈后刷红丹漆二遍，灰色调和漆二遍。</w:t>
      </w:r>
    </w:p>
    <w:p>
      <w:pPr>
        <w:pStyle w:val="216"/>
      </w:pPr>
      <w:r>
        <w:rPr>
          <w:rFonts w:hint="eastAsia"/>
        </w:rPr>
        <w:t>室外明露给水管道、生活热水管道、中央空调水管均应按规范做好管道保温。</w:t>
      </w:r>
      <w:r>
        <w:t>室外明露给水管和明露的消防管道</w:t>
      </w:r>
      <w:r>
        <w:rPr>
          <w:rFonts w:hint="eastAsia"/>
        </w:rPr>
        <w:t>保温材料</w:t>
      </w:r>
      <w:r>
        <w:t>采</w:t>
      </w:r>
      <w:r>
        <w:rPr>
          <w:rFonts w:hint="eastAsia"/>
        </w:rPr>
        <w:t>用</w:t>
      </w:r>
      <w:r>
        <w:t>超细玻璃棉管</w:t>
      </w:r>
      <w:r>
        <w:rPr>
          <w:rFonts w:hint="eastAsia"/>
        </w:rPr>
        <w:t>，</w:t>
      </w:r>
      <w:r>
        <w:t>保温层厚度不小于30</w:t>
      </w:r>
      <w:r>
        <w:rPr>
          <w:rFonts w:hint="eastAsia"/>
        </w:rPr>
        <w:t>mm</w:t>
      </w:r>
      <w:r>
        <w:t>，外做玻纤布或</w:t>
      </w:r>
      <w:r>
        <w:rPr>
          <w:rFonts w:hint="eastAsia"/>
        </w:rPr>
        <w:t>铝箔板</w:t>
      </w:r>
      <w:r>
        <w:t>保护。</w:t>
      </w:r>
      <w:r>
        <w:rPr>
          <w:rFonts w:hint="eastAsia"/>
        </w:rPr>
        <w:t>室内管道</w:t>
      </w:r>
      <w:r>
        <w:t>保温材料</w:t>
      </w:r>
      <w:r>
        <w:rPr>
          <w:rFonts w:hint="eastAsia"/>
        </w:rPr>
        <w:t>采用</w:t>
      </w:r>
      <w:r>
        <w:t>柔性泡沫塑料，保温厚度：DN15～20：25</w:t>
      </w:r>
      <w:r>
        <w:rPr>
          <w:rFonts w:hint="eastAsia"/>
        </w:rPr>
        <w:t>mm</w:t>
      </w:r>
      <w:r>
        <w:t>；DN25～50：30</w:t>
      </w:r>
      <w:r>
        <w:rPr>
          <w:rFonts w:hint="eastAsia"/>
        </w:rPr>
        <w:t>mm</w:t>
      </w:r>
      <w:r>
        <w:t>；DN65～100：40</w:t>
      </w:r>
      <w:r>
        <w:rPr>
          <w:rFonts w:hint="eastAsia"/>
        </w:rPr>
        <w:t>mm</w:t>
      </w:r>
      <w:r>
        <w:t>。屋顶热水箱60</w:t>
      </w:r>
      <w:r>
        <w:rPr>
          <w:rFonts w:hint="eastAsia"/>
        </w:rPr>
        <w:t>mm</w:t>
      </w:r>
      <w:r>
        <w:t>，外表做玻纤布或</w:t>
      </w:r>
      <w:r>
        <w:rPr>
          <w:rFonts w:hint="eastAsia"/>
        </w:rPr>
        <w:t>铝箔板</w:t>
      </w:r>
      <w:r>
        <w:t>保护。保温应在完成试压合格及除锈防腐处理后进行</w:t>
      </w:r>
      <w:r>
        <w:rPr>
          <w:rFonts w:hint="eastAsia"/>
        </w:rPr>
        <w:t>。</w:t>
      </w:r>
    </w:p>
    <w:p>
      <w:pPr>
        <w:pStyle w:val="82"/>
        <w:spacing w:before="156" w:after="156"/>
      </w:pPr>
      <w:bookmarkStart w:id="344" w:name="_Toc806"/>
      <w:bookmarkStart w:id="345" w:name="_Toc25923"/>
      <w:bookmarkStart w:id="346" w:name="_Toc10503"/>
      <w:bookmarkStart w:id="347" w:name="_Toc5639"/>
      <w:bookmarkStart w:id="348" w:name="_Toc22602"/>
      <w:bookmarkStart w:id="349" w:name="_Toc3242"/>
      <w:bookmarkStart w:id="350" w:name="_Toc31057"/>
      <w:bookmarkStart w:id="351" w:name="_Toc15364"/>
      <w:bookmarkStart w:id="352" w:name="_Toc6312"/>
      <w:bookmarkStart w:id="353" w:name="_Toc11421"/>
      <w:bookmarkStart w:id="354" w:name="_Toc32602"/>
      <w:bookmarkStart w:id="355" w:name="_Toc241610339"/>
      <w:bookmarkStart w:id="356" w:name="_Toc17269"/>
      <w:bookmarkStart w:id="357" w:name="_Toc8770"/>
      <w:bookmarkStart w:id="358" w:name="_Toc543"/>
      <w:bookmarkStart w:id="359" w:name="_Toc241609823"/>
      <w:r>
        <w:rPr>
          <w:rFonts w:hint="eastAsia"/>
        </w:rPr>
        <w:t>给排水系统维修验收</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ind w:firstLine="420" w:firstLineChars="200"/>
        <w:rPr>
          <w:rFonts w:ascii="宋体" w:hAnsi="宋体" w:cs="宋体"/>
        </w:rPr>
      </w:pPr>
      <w:r>
        <w:t>给排水系统维修、改造或更新的设计、施工、验收，参照</w:t>
      </w:r>
      <w:r>
        <w:rPr>
          <w:rFonts w:hint="eastAsia"/>
        </w:rPr>
        <w:t>相关标准执行，具体包括</w:t>
      </w:r>
      <w:r>
        <w:rPr>
          <w:rFonts w:hint="eastAsia" w:ascii="宋体" w:hAnsi="宋体" w:cs="宋体"/>
        </w:rPr>
        <w:t>GB 5749、GB 17051、GB 50014、GB 50015、GB 50242、GB 50268、CJJ 110、CJ 3082、GB/T 18713、GB 50349、CJJ/T 29、GB 50275、CJ 164、CJ/T 186、CJ 19、JC 932、JC/T 3040.2、JC 65等。</w:t>
      </w:r>
    </w:p>
    <w:p>
      <w:pPr>
        <w:pStyle w:val="60"/>
        <w:ind w:firstLine="420"/>
      </w:pPr>
    </w:p>
    <w:p>
      <w:pPr>
        <w:pStyle w:val="60"/>
        <w:ind w:firstLine="420"/>
      </w:pPr>
    </w:p>
    <w:p>
      <w:pPr>
        <w:pStyle w:val="60"/>
        <w:ind w:firstLine="420"/>
      </w:pPr>
    </w:p>
    <w:p>
      <w:pPr>
        <w:pStyle w:val="60"/>
        <w:ind w:firstLine="420"/>
        <w:sectPr>
          <w:pgSz w:w="11906" w:h="16838"/>
          <w:pgMar w:top="1928" w:right="1134" w:bottom="1134" w:left="1134" w:header="1418" w:footer="1134" w:gutter="284"/>
          <w:cols w:space="425" w:num="1"/>
          <w:formProt w:val="0"/>
          <w:docGrid w:type="lines" w:linePitch="312" w:charSpace="0"/>
        </w:sectPr>
      </w:pPr>
    </w:p>
    <w:p>
      <w:pPr>
        <w:pStyle w:val="202"/>
        <w:rPr>
          <w:rFonts w:hint="eastAsia"/>
        </w:rPr>
      </w:pPr>
    </w:p>
    <w:p>
      <w:pPr>
        <w:pStyle w:val="203"/>
      </w:pPr>
    </w:p>
    <w:p>
      <w:pPr>
        <w:pStyle w:val="80"/>
        <w:spacing w:before="78" w:after="156"/>
      </w:pPr>
      <w:bookmarkStart w:id="360" w:name="_Toc666"/>
      <w:r>
        <w:rPr>
          <w:rFonts w:hint="eastAsia"/>
        </w:rPr>
        <w:br w:type="textWrapping"/>
      </w:r>
      <w:bookmarkStart w:id="361" w:name="_Toc241609824"/>
      <w:bookmarkStart w:id="362" w:name="_Toc241610340"/>
      <w:r>
        <w:rPr>
          <w:rFonts w:hint="eastAsia"/>
        </w:rPr>
        <w:t>（规范性）</w:t>
      </w:r>
      <w:r>
        <w:rPr>
          <w:rFonts w:hint="eastAsia"/>
        </w:rPr>
        <w:br w:type="textWrapping"/>
      </w:r>
      <w:r>
        <w:rPr>
          <w:rFonts w:hint="eastAsia"/>
        </w:rPr>
        <w:t>通风和空调（供暖）系统检查、维修与维修</w:t>
      </w:r>
      <w:bookmarkEnd w:id="360"/>
      <w:bookmarkEnd w:id="361"/>
      <w:bookmarkEnd w:id="362"/>
    </w:p>
    <w:p>
      <w:pPr>
        <w:pStyle w:val="82"/>
        <w:spacing w:before="156" w:after="156"/>
      </w:pPr>
      <w:bookmarkStart w:id="363" w:name="_Toc5994"/>
      <w:bookmarkStart w:id="364" w:name="_Toc31119"/>
      <w:bookmarkStart w:id="365" w:name="_Toc23863"/>
      <w:bookmarkStart w:id="366" w:name="_Toc2127"/>
      <w:bookmarkStart w:id="367" w:name="_Toc404932204"/>
      <w:bookmarkStart w:id="368" w:name="_Toc9629"/>
      <w:bookmarkStart w:id="369" w:name="_Toc8103"/>
      <w:bookmarkStart w:id="370" w:name="_Toc241610341"/>
      <w:bookmarkStart w:id="371" w:name="_Toc749"/>
      <w:bookmarkStart w:id="372" w:name="_Toc241609825"/>
      <w:bookmarkStart w:id="373" w:name="_Toc404929803"/>
      <w:bookmarkStart w:id="374" w:name="_Toc22428"/>
      <w:bookmarkStart w:id="375" w:name="_Toc441240378"/>
      <w:bookmarkStart w:id="376" w:name="_Toc2274"/>
      <w:bookmarkStart w:id="377" w:name="_Toc5185"/>
      <w:bookmarkStart w:id="378" w:name="_Toc22567"/>
      <w:bookmarkStart w:id="379" w:name="_Toc11732"/>
      <w:bookmarkStart w:id="380" w:name="_Toc16178"/>
      <w:bookmarkStart w:id="381" w:name="_Toc3096"/>
      <w:r>
        <w:t>一般规定</w:t>
      </w:r>
      <w:r>
        <w:rPr>
          <w:rFonts w:hint="eastAsia"/>
        </w:rPr>
        <w:t>和检查</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216"/>
      </w:pPr>
      <w:r>
        <w:t>通风与空调</w:t>
      </w:r>
      <w:r>
        <w:rPr>
          <w:rFonts w:hint="eastAsia"/>
        </w:rPr>
        <w:t>（供暖）</w:t>
      </w:r>
      <w:r>
        <w:t>系统</w:t>
      </w:r>
      <w:r>
        <w:rPr>
          <w:rFonts w:hint="eastAsia"/>
        </w:rPr>
        <w:t>由不同子系统组成，</w:t>
      </w:r>
      <w:r>
        <w:t>包括</w:t>
      </w:r>
      <w:r>
        <w:rPr>
          <w:rFonts w:hint="eastAsia"/>
        </w:rPr>
        <w:t>：</w:t>
      </w:r>
    </w:p>
    <w:p>
      <w:pPr>
        <w:pStyle w:val="178"/>
        <w:numPr>
          <w:ilvl w:val="0"/>
          <w:numId w:val="83"/>
        </w:numPr>
      </w:pPr>
      <w:r>
        <w:rPr>
          <w:rFonts w:hint="eastAsia"/>
        </w:rPr>
        <w:t>冷（热）源系统（如：地源热泵系统、冷水处理设备和锅炉等）；</w:t>
      </w:r>
    </w:p>
    <w:p>
      <w:pPr>
        <w:pStyle w:val="178"/>
        <w:numPr>
          <w:ilvl w:val="0"/>
          <w:numId w:val="83"/>
        </w:numPr>
      </w:pPr>
      <w:r>
        <w:rPr>
          <w:rFonts w:hint="eastAsia"/>
        </w:rPr>
        <w:t>输运系统（如：空调水系统、空调风系统、变制冷剂流量系统）；</w:t>
      </w:r>
    </w:p>
    <w:p>
      <w:pPr>
        <w:pStyle w:val="178"/>
        <w:numPr>
          <w:ilvl w:val="0"/>
          <w:numId w:val="83"/>
        </w:numPr>
      </w:pPr>
      <w:r>
        <w:rPr>
          <w:rFonts w:hint="eastAsia"/>
        </w:rPr>
        <w:t>末端处理系统（如：集中式空调系统、分散式空调系统、净化空调系统、风机盘管系统、全新风系统、送回风系统、地暖和暖气片系统等）；</w:t>
      </w:r>
    </w:p>
    <w:p>
      <w:pPr>
        <w:pStyle w:val="178"/>
        <w:numPr>
          <w:ilvl w:val="0"/>
          <w:numId w:val="83"/>
        </w:numPr>
      </w:pPr>
      <w:r>
        <w:rPr>
          <w:rFonts w:hint="eastAsia"/>
        </w:rPr>
        <w:t>各类调节阀类和送回风口等附件和控制系统等。</w:t>
      </w:r>
    </w:p>
    <w:p>
      <w:pPr>
        <w:pStyle w:val="216"/>
      </w:pPr>
      <w:r>
        <w:t>通风与空调系统维修分</w:t>
      </w:r>
      <w:r>
        <w:rPr>
          <w:rFonts w:hint="eastAsia"/>
        </w:rPr>
        <w:t>日常维修和大中小修，</w:t>
      </w:r>
      <w:r>
        <w:t>经</w:t>
      </w:r>
      <w:r>
        <w:rPr>
          <w:rFonts w:hint="eastAsia"/>
        </w:rPr>
        <w:t>使用单位</w:t>
      </w:r>
      <w:r>
        <w:t>检查评定为</w:t>
      </w:r>
      <w:r>
        <w:rPr>
          <w:rFonts w:hint="eastAsia"/>
        </w:rPr>
        <w:t>大中小修</w:t>
      </w:r>
      <w:r>
        <w:t>后，应依据国家现行有关标准的规定编制</w:t>
      </w:r>
      <w:r>
        <w:rPr>
          <w:rFonts w:hint="eastAsia"/>
        </w:rPr>
        <w:t>大中小修</w:t>
      </w:r>
      <w:r>
        <w:t>方案</w:t>
      </w:r>
      <w:r>
        <w:rPr>
          <w:rFonts w:hint="eastAsia"/>
        </w:rPr>
        <w:t>。</w:t>
      </w:r>
    </w:p>
    <w:p>
      <w:pPr>
        <w:pStyle w:val="216"/>
      </w:pPr>
      <w:r>
        <w:rPr>
          <w:rFonts w:hint="eastAsia"/>
        </w:rPr>
        <w:t>日常维修内容</w:t>
      </w:r>
      <w:r>
        <w:t>：为维护系统和设备正常运转而进行的保养性质的修理，如清洗、更换过滤材料、阀门等零部件</w:t>
      </w:r>
      <w:r>
        <w:rPr>
          <w:rFonts w:hint="eastAsia"/>
        </w:rPr>
        <w:t>。</w:t>
      </w:r>
    </w:p>
    <w:p>
      <w:pPr>
        <w:pStyle w:val="216"/>
      </w:pPr>
      <w:r>
        <w:rPr>
          <w:rFonts w:hint="eastAsia"/>
        </w:rPr>
        <w:t>大中小修内容</w:t>
      </w:r>
      <w:r>
        <w:t>：局部或整体地改变系统的原始设计方案（包括节能改造和使用功能改变），对重要设备或重要部位乃至全系统进行的修理、更换、更新或重新施工，以及设备或系统等附属设施的修理或更换</w:t>
      </w:r>
      <w:r>
        <w:rPr>
          <w:rFonts w:hint="eastAsia"/>
        </w:rPr>
        <w:t>。</w:t>
      </w:r>
    </w:p>
    <w:p>
      <w:pPr>
        <w:pStyle w:val="216"/>
      </w:pPr>
      <w:r>
        <w:rPr>
          <w:rFonts w:hint="eastAsia"/>
        </w:rPr>
        <w:t>通风与空调系统</w:t>
      </w:r>
      <w:r>
        <w:t>评定结果出现下列情况之一时，应对重要设备或重要部位</w:t>
      </w:r>
      <w:r>
        <w:rPr>
          <w:rFonts w:hint="eastAsia"/>
        </w:rPr>
        <w:t>或者</w:t>
      </w:r>
      <w:r>
        <w:t>全系统进行</w:t>
      </w:r>
      <w:r>
        <w:rPr>
          <w:rFonts w:hint="eastAsia"/>
        </w:rPr>
        <w:t>大中小修</w:t>
      </w:r>
      <w:r>
        <w:t>：</w:t>
      </w:r>
    </w:p>
    <w:p>
      <w:pPr>
        <w:pStyle w:val="178"/>
        <w:numPr>
          <w:ilvl w:val="0"/>
          <w:numId w:val="84"/>
        </w:numPr>
      </w:pPr>
      <w:r>
        <w:rPr>
          <w:rFonts w:hint="eastAsia"/>
        </w:rPr>
        <w:t>运行时间超过正常使用年限，设备运转不可靠；</w:t>
      </w:r>
    </w:p>
    <w:p>
      <w:pPr>
        <w:pStyle w:val="178"/>
        <w:numPr>
          <w:ilvl w:val="0"/>
          <w:numId w:val="84"/>
        </w:numPr>
      </w:pPr>
      <w:r>
        <w:rPr>
          <w:rFonts w:hint="eastAsia"/>
        </w:rPr>
        <w:t>不能满足使用功能和安全要求；</w:t>
      </w:r>
    </w:p>
    <w:p>
      <w:pPr>
        <w:pStyle w:val="178"/>
        <w:numPr>
          <w:ilvl w:val="0"/>
          <w:numId w:val="84"/>
        </w:numPr>
      </w:pPr>
      <w:r>
        <w:rPr>
          <w:rFonts w:hint="eastAsia"/>
        </w:rPr>
        <w:t>通风与空调系统单位面积能耗指标高于国家现行标准时；</w:t>
      </w:r>
    </w:p>
    <w:p>
      <w:pPr>
        <w:pStyle w:val="178"/>
        <w:numPr>
          <w:ilvl w:val="0"/>
          <w:numId w:val="84"/>
        </w:numPr>
      </w:pPr>
      <w:r>
        <w:rPr>
          <w:rFonts w:hint="eastAsia"/>
        </w:rPr>
        <w:t>有节能改造需求时；</w:t>
      </w:r>
    </w:p>
    <w:p>
      <w:pPr>
        <w:pStyle w:val="178"/>
        <w:numPr>
          <w:ilvl w:val="0"/>
          <w:numId w:val="84"/>
        </w:numPr>
      </w:pPr>
      <w:r>
        <w:rPr>
          <w:rFonts w:hint="eastAsia"/>
        </w:rPr>
        <w:t>评定结果为Ｃ级的检查点达到30%以上，且Ａ级的检查点未超过20%的；</w:t>
      </w:r>
    </w:p>
    <w:p>
      <w:pPr>
        <w:pStyle w:val="178"/>
        <w:numPr>
          <w:ilvl w:val="0"/>
          <w:numId w:val="84"/>
        </w:numPr>
      </w:pPr>
      <w:r>
        <w:rPr>
          <w:rFonts w:hint="eastAsia"/>
        </w:rPr>
        <w:t>预计日常维修后，仍无评定结果能达到Ａ级的检查点。且经大中小修后所有检查点评定结果能达到Ｂ级以上，同时80%以上检查点评定结果为Ａ级时。</w:t>
      </w:r>
    </w:p>
    <w:p>
      <w:pPr>
        <w:pStyle w:val="216"/>
      </w:pPr>
      <w:r>
        <w:rPr>
          <w:rFonts w:hint="eastAsia"/>
        </w:rPr>
        <w:t>评定结果未达E.1.5标准的维修属于日常维修，应由使用单位进行。</w:t>
      </w:r>
    </w:p>
    <w:p>
      <w:pPr>
        <w:pStyle w:val="216"/>
      </w:pPr>
      <w:r>
        <w:rPr>
          <w:rFonts w:hint="eastAsia"/>
        </w:rPr>
        <w:t>大中小修</w:t>
      </w:r>
      <w:r>
        <w:t>的时间间隔宜大于10年，如系统状况良好，宜适当延长</w:t>
      </w:r>
      <w:r>
        <w:rPr>
          <w:rFonts w:hint="eastAsia"/>
        </w:rPr>
        <w:t>大中小修</w:t>
      </w:r>
      <w:r>
        <w:t>的间隔时间。</w:t>
      </w:r>
    </w:p>
    <w:p>
      <w:pPr>
        <w:pStyle w:val="216"/>
      </w:pPr>
      <w:r>
        <w:t>经</w:t>
      </w:r>
      <w:r>
        <w:rPr>
          <w:rFonts w:hint="eastAsia"/>
        </w:rPr>
        <w:t>大中小修</w:t>
      </w:r>
      <w:r>
        <w:t>的</w:t>
      </w:r>
      <w:r>
        <w:rPr>
          <w:rFonts w:hint="eastAsia"/>
        </w:rPr>
        <w:t>通风和空调</w:t>
      </w:r>
      <w:r>
        <w:t>系统，其主要材料、设备的性能应符合国家现行</w:t>
      </w:r>
      <w:r>
        <w:rPr>
          <w:rFonts w:hint="eastAsia"/>
        </w:rPr>
        <w:t>规范</w:t>
      </w:r>
      <w:r>
        <w:t>的规定</w:t>
      </w:r>
      <w:r>
        <w:rPr>
          <w:rFonts w:hint="eastAsia"/>
        </w:rPr>
        <w:t>，</w:t>
      </w:r>
      <w:r>
        <w:t>主要材料、设备的预期正常使用年限不应低于10年，宜不低于15年。</w:t>
      </w:r>
    </w:p>
    <w:p>
      <w:pPr>
        <w:pStyle w:val="216"/>
      </w:pPr>
      <w:r>
        <w:t>除特殊情况外，</w:t>
      </w:r>
      <w:r>
        <w:rPr>
          <w:rFonts w:hint="eastAsia"/>
        </w:rPr>
        <w:t>安排通风和空调</w:t>
      </w:r>
      <w:r>
        <w:t>系统的</w:t>
      </w:r>
      <w:r>
        <w:rPr>
          <w:rFonts w:hint="eastAsia"/>
        </w:rPr>
        <w:t>大中小修时</w:t>
      </w:r>
      <w:r>
        <w:t>，宜</w:t>
      </w:r>
      <w:r>
        <w:rPr>
          <w:rFonts w:hint="eastAsia"/>
        </w:rPr>
        <w:t>一并与给排水、消防、智能化和装饰装修等</w:t>
      </w:r>
      <w:r>
        <w:t>其他相关系统的</w:t>
      </w:r>
      <w:r>
        <w:rPr>
          <w:rFonts w:hint="eastAsia"/>
        </w:rPr>
        <w:t>大中小修</w:t>
      </w:r>
      <w:r>
        <w:t>同时进行</w:t>
      </w:r>
      <w:r>
        <w:rPr>
          <w:rFonts w:hint="eastAsia"/>
        </w:rPr>
        <w:t>，不宜进行专项维修</w:t>
      </w:r>
      <w:r>
        <w:t>。</w:t>
      </w:r>
    </w:p>
    <w:p>
      <w:pPr>
        <w:pStyle w:val="216"/>
      </w:pPr>
      <w:r>
        <w:rPr>
          <w:rFonts w:hint="eastAsia"/>
        </w:rPr>
        <w:t>办公用房通风空调系统检查评定分级A、B、C三级。检查时，按楼层或分区单元作为一个检查点，检查点评定分级标准如下：</w:t>
      </w:r>
    </w:p>
    <w:p>
      <w:pPr>
        <w:pStyle w:val="178"/>
        <w:numPr>
          <w:ilvl w:val="0"/>
          <w:numId w:val="85"/>
        </w:numPr>
      </w:pPr>
      <w:r>
        <w:rPr>
          <w:rFonts w:hint="eastAsia"/>
        </w:rPr>
        <w:t>A级：具有正常使用功能或尚能使用，无管道渗漏、爆管和漏电等安全隐患，满足安全卫生条件，设计合理，系统配置均衡匹配，可通过运行控制策略来调整能耗，不必采取措施；</w:t>
      </w:r>
    </w:p>
    <w:p>
      <w:pPr>
        <w:pStyle w:val="178"/>
        <w:numPr>
          <w:ilvl w:val="0"/>
          <w:numId w:val="85"/>
        </w:numPr>
      </w:pPr>
      <w:r>
        <w:rPr>
          <w:rFonts w:hint="eastAsia"/>
        </w:rPr>
        <w:t>B级：工作性能下降，有局部管道渗漏、爆管和漏电等安全隐患，安全卫生指标下降，可以通过清洗消毒等措施改善生物污染途径，部分设备不能正常工作而导致系统配置失衡，能耗较高，可局部采取措施更新、改造；</w:t>
      </w:r>
    </w:p>
    <w:p>
      <w:pPr>
        <w:pStyle w:val="178"/>
        <w:numPr>
          <w:ilvl w:val="0"/>
          <w:numId w:val="85"/>
        </w:numPr>
      </w:pPr>
      <w:r>
        <w:rPr>
          <w:rFonts w:hint="eastAsia"/>
        </w:rPr>
        <w:t>C级：工作性能严重下降，有多次不能正常工作和日常维修的记录，有多处管道严重渗漏、爆管和漏电等较严重安全隐患，不满足安全卫生条件，各种原因导致系统配置严重失衡，能耗严重超高，应采取措施更新、改造。</w:t>
      </w:r>
    </w:p>
    <w:p>
      <w:pPr>
        <w:pStyle w:val="216"/>
      </w:pPr>
      <w:r>
        <w:t>办公用房</w:t>
      </w:r>
      <w:r>
        <w:rPr>
          <w:rFonts w:hint="eastAsia"/>
        </w:rPr>
        <w:t>的通风和空调系统的检查分为日常检查和综合检查，</w:t>
      </w:r>
      <w:r>
        <w:rPr>
          <w:szCs w:val="24"/>
        </w:rPr>
        <w:t>由使用单位负责实施，</w:t>
      </w:r>
      <w:r>
        <w:t>日常检查宜包括下列内容：</w:t>
      </w:r>
    </w:p>
    <w:p>
      <w:pPr>
        <w:pStyle w:val="178"/>
        <w:numPr>
          <w:ilvl w:val="0"/>
          <w:numId w:val="86"/>
        </w:numPr>
      </w:pPr>
      <w:r>
        <w:rPr>
          <w:rFonts w:hint="eastAsia"/>
        </w:rPr>
        <w:t>室内空气温度和相对湿度的检查；</w:t>
      </w:r>
    </w:p>
    <w:p>
      <w:pPr>
        <w:pStyle w:val="178"/>
        <w:numPr>
          <w:ilvl w:val="0"/>
          <w:numId w:val="86"/>
        </w:numPr>
      </w:pPr>
      <w:r>
        <w:rPr>
          <w:rFonts w:hint="eastAsia"/>
        </w:rPr>
        <w:t>通风与空调风量的检查和通风与空调有代表性参数的检查；</w:t>
      </w:r>
    </w:p>
    <w:p>
      <w:pPr>
        <w:pStyle w:val="178"/>
        <w:numPr>
          <w:ilvl w:val="0"/>
          <w:numId w:val="86"/>
        </w:numPr>
      </w:pPr>
      <w:r>
        <w:rPr>
          <w:rFonts w:hint="eastAsia"/>
        </w:rPr>
        <w:t>办公区内噪声的检查和空调系统能耗的计量；</w:t>
      </w:r>
    </w:p>
    <w:p>
      <w:pPr>
        <w:pStyle w:val="178"/>
        <w:numPr>
          <w:ilvl w:val="0"/>
          <w:numId w:val="86"/>
        </w:numPr>
      </w:pPr>
      <w:r>
        <w:rPr>
          <w:rFonts w:hint="eastAsia"/>
        </w:rPr>
        <w:t>观感质量的日常检查；</w:t>
      </w:r>
    </w:p>
    <w:p>
      <w:pPr>
        <w:pStyle w:val="178"/>
        <w:numPr>
          <w:ilvl w:val="0"/>
          <w:numId w:val="86"/>
        </w:numPr>
      </w:pPr>
      <w:r>
        <w:rPr>
          <w:rFonts w:hint="eastAsia"/>
        </w:rPr>
        <w:t>空调主机、锅炉、换热设备和辅机等主要设备维护保养和运行情况；</w:t>
      </w:r>
    </w:p>
    <w:p>
      <w:pPr>
        <w:pStyle w:val="178"/>
        <w:numPr>
          <w:ilvl w:val="0"/>
          <w:numId w:val="86"/>
        </w:numPr>
      </w:pPr>
      <w:r>
        <w:rPr>
          <w:rFonts w:hint="eastAsia"/>
        </w:rPr>
        <w:t>水泵运行情况和管道防腐绝热；</w:t>
      </w:r>
    </w:p>
    <w:p>
      <w:pPr>
        <w:pStyle w:val="178"/>
        <w:numPr>
          <w:ilvl w:val="0"/>
          <w:numId w:val="86"/>
        </w:numPr>
      </w:pPr>
      <w:r>
        <w:rPr>
          <w:rFonts w:hint="eastAsia"/>
        </w:rPr>
        <w:t>阀门有效性和其他。</w:t>
      </w:r>
    </w:p>
    <w:p>
      <w:pPr>
        <w:pStyle w:val="216"/>
      </w:pPr>
      <w:r>
        <w:rPr>
          <w:rFonts w:hint="eastAsia"/>
        </w:rPr>
        <w:t>在日常检查</w:t>
      </w:r>
      <w:r>
        <w:t>中</w:t>
      </w:r>
      <w:r>
        <w:rPr>
          <w:rFonts w:hint="eastAsia"/>
        </w:rPr>
        <w:t>，</w:t>
      </w:r>
      <w:r>
        <w:t>发现</w:t>
      </w:r>
      <w:r>
        <w:rPr>
          <w:rFonts w:hint="eastAsia"/>
        </w:rPr>
        <w:t>系统</w:t>
      </w:r>
      <w:r>
        <w:t>经常出现使用功能故障、出现较为严重的室内冷热不均、存在卫生</w:t>
      </w:r>
      <w:r>
        <w:rPr>
          <w:rFonts w:hint="eastAsia"/>
        </w:rPr>
        <w:t>和</w:t>
      </w:r>
      <w:r>
        <w:t>安全隐患、耗能耗水严重以及</w:t>
      </w:r>
      <w:r>
        <w:rPr>
          <w:rFonts w:hint="eastAsia"/>
        </w:rPr>
        <w:t>其他</w:t>
      </w:r>
      <w:r>
        <w:t>严重影响使用功能的情况时，</w:t>
      </w:r>
      <w:r>
        <w:rPr>
          <w:szCs w:val="24"/>
        </w:rPr>
        <w:t>使用单位</w:t>
      </w:r>
      <w:r>
        <w:t>应及时组织综合检查。综合检查与评定，应由具有资质的专业</w:t>
      </w:r>
      <w:r>
        <w:rPr>
          <w:rFonts w:hint="eastAsia"/>
        </w:rPr>
        <w:t>人员</w:t>
      </w:r>
      <w:r>
        <w:t>承担。</w:t>
      </w:r>
    </w:p>
    <w:p>
      <w:pPr>
        <w:pStyle w:val="216"/>
      </w:pPr>
      <w:r>
        <w:t>综合检查应包括对通风与空调</w:t>
      </w:r>
      <w:r>
        <w:rPr>
          <w:rFonts w:hint="eastAsia"/>
        </w:rPr>
        <w:t>（供暖）</w:t>
      </w:r>
      <w:r>
        <w:t>系统的使用功能、系统安全性、环境保护与卫生、能效类四类</w:t>
      </w:r>
      <w:r>
        <w:rPr>
          <w:rFonts w:hint="eastAsia"/>
        </w:rPr>
        <w:t>检查，检查项目按表E.1所列内容。</w:t>
      </w:r>
    </w:p>
    <w:p>
      <w:pPr>
        <w:pStyle w:val="81"/>
        <w:spacing w:before="156" w:after="156"/>
      </w:pPr>
      <w:r>
        <w:rPr>
          <w:rFonts w:hint="eastAsia" w:hAnsi="黑体" w:cs="黑体"/>
        </w:rPr>
        <w:t>通风空调（供暖）系统综合检查项目内容一览表</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782"/>
        <w:gridCol w:w="2518"/>
        <w:gridCol w:w="2019"/>
        <w:gridCol w:w="2159"/>
        <w:gridCol w:w="20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791" w:type="dxa"/>
            <w:tcBorders>
              <w:bottom w:val="single" w:color="auto" w:sz="8" w:space="0"/>
            </w:tcBorders>
            <w:vAlign w:val="center"/>
          </w:tcPr>
          <w:p>
            <w:pPr>
              <w:jc w:val="center"/>
              <w:rPr>
                <w:rFonts w:ascii="宋体" w:hAnsi="宋体" w:cs="宋体"/>
              </w:rPr>
            </w:pPr>
            <w:r>
              <w:rPr>
                <w:rFonts w:hint="eastAsia" w:ascii="宋体" w:hAnsi="宋体" w:cs="宋体"/>
              </w:rPr>
              <w:t>序号</w:t>
            </w:r>
          </w:p>
        </w:tc>
        <w:tc>
          <w:tcPr>
            <w:tcW w:w="2562" w:type="dxa"/>
            <w:tcBorders>
              <w:bottom w:val="single" w:color="auto" w:sz="8" w:space="0"/>
            </w:tcBorders>
            <w:vAlign w:val="center"/>
          </w:tcPr>
          <w:p>
            <w:pPr>
              <w:jc w:val="center"/>
              <w:rPr>
                <w:rFonts w:ascii="宋体" w:hAnsi="宋体" w:cs="宋体"/>
              </w:rPr>
            </w:pPr>
            <w:r>
              <w:rPr>
                <w:rFonts w:hint="eastAsia" w:ascii="宋体" w:hAnsi="宋体" w:cs="宋体"/>
              </w:rPr>
              <w:t>使用功能检查</w:t>
            </w:r>
          </w:p>
        </w:tc>
        <w:tc>
          <w:tcPr>
            <w:tcW w:w="2057" w:type="dxa"/>
            <w:tcBorders>
              <w:bottom w:val="single" w:color="auto" w:sz="8" w:space="0"/>
            </w:tcBorders>
            <w:vAlign w:val="center"/>
          </w:tcPr>
          <w:p>
            <w:pPr>
              <w:jc w:val="center"/>
              <w:rPr>
                <w:rFonts w:ascii="宋体" w:hAnsi="宋体" w:cs="宋体"/>
              </w:rPr>
            </w:pPr>
            <w:r>
              <w:rPr>
                <w:rFonts w:hint="eastAsia" w:ascii="宋体" w:hAnsi="宋体" w:cs="宋体"/>
              </w:rPr>
              <w:t>系统安全性检查</w:t>
            </w:r>
          </w:p>
        </w:tc>
        <w:tc>
          <w:tcPr>
            <w:tcW w:w="2200" w:type="dxa"/>
            <w:tcBorders>
              <w:bottom w:val="single" w:color="auto" w:sz="8" w:space="0"/>
            </w:tcBorders>
            <w:vAlign w:val="center"/>
          </w:tcPr>
          <w:p>
            <w:pPr>
              <w:jc w:val="center"/>
              <w:rPr>
                <w:rFonts w:ascii="宋体" w:hAnsi="宋体" w:cs="宋体"/>
              </w:rPr>
            </w:pPr>
            <w:r>
              <w:rPr>
                <w:rFonts w:hint="eastAsia" w:ascii="宋体" w:hAnsi="宋体" w:cs="宋体"/>
              </w:rPr>
              <w:t>环境保护与卫生检查</w:t>
            </w:r>
          </w:p>
        </w:tc>
        <w:tc>
          <w:tcPr>
            <w:tcW w:w="2114" w:type="dxa"/>
            <w:tcBorders>
              <w:bottom w:val="single" w:color="auto" w:sz="8" w:space="0"/>
            </w:tcBorders>
            <w:vAlign w:val="center"/>
          </w:tcPr>
          <w:p>
            <w:pPr>
              <w:jc w:val="center"/>
              <w:rPr>
                <w:rFonts w:ascii="宋体" w:hAnsi="宋体" w:cs="宋体"/>
              </w:rPr>
            </w:pPr>
            <w:r>
              <w:rPr>
                <w:rFonts w:hint="eastAsia" w:ascii="宋体" w:hAnsi="宋体" w:cs="宋体"/>
              </w:rPr>
              <w:t>系统能效检查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91" w:type="dxa"/>
            <w:tcBorders>
              <w:top w:val="single" w:color="auto" w:sz="8" w:space="0"/>
            </w:tcBorders>
            <w:vAlign w:val="center"/>
          </w:tcPr>
          <w:p>
            <w:pPr>
              <w:jc w:val="center"/>
              <w:rPr>
                <w:rFonts w:ascii="宋体" w:hAnsi="宋体" w:cs="宋体"/>
              </w:rPr>
            </w:pPr>
            <w:r>
              <w:rPr>
                <w:rFonts w:hint="eastAsia" w:ascii="宋体" w:hAnsi="宋体" w:cs="宋体"/>
              </w:rPr>
              <w:t>1</w:t>
            </w:r>
          </w:p>
        </w:tc>
        <w:tc>
          <w:tcPr>
            <w:tcW w:w="2562" w:type="dxa"/>
            <w:tcBorders>
              <w:top w:val="single" w:color="auto" w:sz="8" w:space="0"/>
            </w:tcBorders>
            <w:vAlign w:val="center"/>
          </w:tcPr>
          <w:p>
            <w:pPr>
              <w:jc w:val="center"/>
              <w:rPr>
                <w:rFonts w:ascii="宋体" w:hAnsi="宋体" w:cs="宋体"/>
              </w:rPr>
            </w:pPr>
            <w:r>
              <w:rPr>
                <w:rFonts w:hint="eastAsia" w:ascii="宋体" w:hAnsi="宋体" w:cs="宋体"/>
              </w:rPr>
              <w:t>室内空气温度和相对湿度</w:t>
            </w:r>
          </w:p>
        </w:tc>
        <w:tc>
          <w:tcPr>
            <w:tcW w:w="2057" w:type="dxa"/>
            <w:tcBorders>
              <w:top w:val="single" w:color="auto" w:sz="8" w:space="0"/>
            </w:tcBorders>
            <w:vAlign w:val="center"/>
          </w:tcPr>
          <w:p>
            <w:pPr>
              <w:jc w:val="center"/>
              <w:rPr>
                <w:rFonts w:ascii="宋体" w:hAnsi="宋体" w:cs="宋体"/>
              </w:rPr>
            </w:pPr>
            <w:r>
              <w:rPr>
                <w:rFonts w:hint="eastAsia" w:ascii="宋体" w:hAnsi="宋体" w:cs="宋体"/>
              </w:rPr>
              <w:t>风管强度</w:t>
            </w:r>
          </w:p>
        </w:tc>
        <w:tc>
          <w:tcPr>
            <w:tcW w:w="2200" w:type="dxa"/>
            <w:tcBorders>
              <w:top w:val="single" w:color="auto" w:sz="8" w:space="0"/>
            </w:tcBorders>
            <w:vAlign w:val="center"/>
          </w:tcPr>
          <w:p>
            <w:pPr>
              <w:jc w:val="center"/>
              <w:rPr>
                <w:rFonts w:ascii="宋体" w:hAnsi="宋体" w:cs="宋体"/>
              </w:rPr>
            </w:pPr>
            <w:r>
              <w:rPr>
                <w:rFonts w:hint="eastAsia" w:ascii="宋体" w:hAnsi="宋体" w:cs="宋体"/>
              </w:rPr>
              <w:t>新风量与换气次数</w:t>
            </w:r>
          </w:p>
        </w:tc>
        <w:tc>
          <w:tcPr>
            <w:tcW w:w="2114" w:type="dxa"/>
            <w:tcBorders>
              <w:top w:val="single" w:color="auto" w:sz="8" w:space="0"/>
            </w:tcBorders>
            <w:vAlign w:val="center"/>
          </w:tcPr>
          <w:p>
            <w:pPr>
              <w:jc w:val="center"/>
              <w:rPr>
                <w:rFonts w:ascii="宋体" w:hAnsi="宋体" w:cs="宋体"/>
              </w:rPr>
            </w:pPr>
            <w:r>
              <w:rPr>
                <w:rFonts w:hint="eastAsia" w:ascii="宋体" w:hAnsi="宋体" w:cs="宋体"/>
              </w:rPr>
              <w:t>冷源设备能效系数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91" w:type="dxa"/>
            <w:vAlign w:val="center"/>
          </w:tcPr>
          <w:p>
            <w:pPr>
              <w:jc w:val="center"/>
              <w:rPr>
                <w:rFonts w:ascii="宋体" w:hAnsi="宋体" w:cs="宋体"/>
              </w:rPr>
            </w:pPr>
            <w:r>
              <w:rPr>
                <w:rFonts w:hint="eastAsia" w:ascii="宋体" w:hAnsi="宋体" w:cs="宋体"/>
              </w:rPr>
              <w:t>2</w:t>
            </w:r>
          </w:p>
        </w:tc>
        <w:tc>
          <w:tcPr>
            <w:tcW w:w="2562" w:type="dxa"/>
            <w:vAlign w:val="center"/>
          </w:tcPr>
          <w:p>
            <w:pPr>
              <w:jc w:val="center"/>
              <w:rPr>
                <w:rFonts w:ascii="宋体" w:hAnsi="宋体" w:cs="宋体"/>
              </w:rPr>
            </w:pPr>
            <w:r>
              <w:rPr>
                <w:rFonts w:hint="eastAsia" w:ascii="宋体" w:hAnsi="宋体" w:cs="宋体"/>
              </w:rPr>
              <w:t>系统总风量</w:t>
            </w:r>
          </w:p>
        </w:tc>
        <w:tc>
          <w:tcPr>
            <w:tcW w:w="2057" w:type="dxa"/>
            <w:vAlign w:val="center"/>
          </w:tcPr>
          <w:p>
            <w:pPr>
              <w:jc w:val="center"/>
              <w:rPr>
                <w:rFonts w:ascii="宋体" w:hAnsi="宋体" w:cs="宋体"/>
              </w:rPr>
            </w:pPr>
            <w:r>
              <w:rPr>
                <w:rFonts w:hint="eastAsia" w:ascii="宋体" w:hAnsi="宋体" w:cs="宋体"/>
              </w:rPr>
              <w:t>耐火等级</w:t>
            </w:r>
          </w:p>
        </w:tc>
        <w:tc>
          <w:tcPr>
            <w:tcW w:w="2200" w:type="dxa"/>
            <w:vAlign w:val="center"/>
          </w:tcPr>
          <w:p>
            <w:pPr>
              <w:jc w:val="center"/>
              <w:rPr>
                <w:rFonts w:ascii="宋体" w:hAnsi="宋体" w:cs="宋体"/>
              </w:rPr>
            </w:pPr>
            <w:r>
              <w:rPr>
                <w:rFonts w:hint="eastAsia" w:ascii="宋体" w:hAnsi="宋体" w:cs="宋体"/>
              </w:rPr>
              <w:t>过滤器积尘情况</w:t>
            </w:r>
          </w:p>
        </w:tc>
        <w:tc>
          <w:tcPr>
            <w:tcW w:w="2114" w:type="dxa"/>
            <w:vAlign w:val="center"/>
          </w:tcPr>
          <w:p>
            <w:pPr>
              <w:jc w:val="center"/>
              <w:rPr>
                <w:rFonts w:ascii="宋体" w:hAnsi="宋体" w:cs="宋体"/>
              </w:rPr>
            </w:pPr>
            <w:r>
              <w:rPr>
                <w:rFonts w:hint="eastAsia" w:ascii="宋体" w:hAnsi="宋体" w:cs="宋体"/>
              </w:rPr>
              <w:t>风机单位风量耗功率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91" w:type="dxa"/>
            <w:vAlign w:val="center"/>
          </w:tcPr>
          <w:p>
            <w:pPr>
              <w:jc w:val="center"/>
              <w:rPr>
                <w:rFonts w:ascii="宋体" w:hAnsi="宋体" w:cs="宋体"/>
              </w:rPr>
            </w:pPr>
            <w:r>
              <w:rPr>
                <w:rFonts w:hint="eastAsia" w:ascii="宋体" w:hAnsi="宋体" w:cs="宋体"/>
              </w:rPr>
              <w:t>3</w:t>
            </w:r>
          </w:p>
        </w:tc>
        <w:tc>
          <w:tcPr>
            <w:tcW w:w="2562" w:type="dxa"/>
            <w:vAlign w:val="center"/>
          </w:tcPr>
          <w:p>
            <w:pPr>
              <w:jc w:val="center"/>
              <w:rPr>
                <w:rFonts w:ascii="宋体" w:hAnsi="宋体" w:cs="宋体"/>
              </w:rPr>
            </w:pPr>
            <w:r>
              <w:rPr>
                <w:rFonts w:hint="eastAsia" w:ascii="宋体" w:hAnsi="宋体" w:cs="宋体"/>
              </w:rPr>
              <w:t>各类阀门动作</w:t>
            </w:r>
          </w:p>
        </w:tc>
        <w:tc>
          <w:tcPr>
            <w:tcW w:w="2057" w:type="dxa"/>
            <w:vAlign w:val="center"/>
          </w:tcPr>
          <w:p>
            <w:pPr>
              <w:jc w:val="center"/>
              <w:rPr>
                <w:rFonts w:ascii="宋体" w:hAnsi="宋体" w:cs="宋体"/>
              </w:rPr>
            </w:pPr>
            <w:r>
              <w:rPr>
                <w:rFonts w:hint="eastAsia" w:ascii="宋体" w:hAnsi="宋体" w:cs="宋体"/>
              </w:rPr>
              <w:t>输配管道的渗漏</w:t>
            </w:r>
          </w:p>
        </w:tc>
        <w:tc>
          <w:tcPr>
            <w:tcW w:w="2200" w:type="dxa"/>
            <w:vAlign w:val="center"/>
          </w:tcPr>
          <w:p>
            <w:pPr>
              <w:jc w:val="center"/>
              <w:rPr>
                <w:rFonts w:ascii="宋体" w:hAnsi="宋体" w:cs="宋体"/>
              </w:rPr>
            </w:pPr>
            <w:r>
              <w:rPr>
                <w:rFonts w:hint="eastAsia" w:ascii="宋体" w:hAnsi="宋体" w:cs="宋体"/>
              </w:rPr>
              <w:t>室内空气微生物浓度</w:t>
            </w:r>
          </w:p>
        </w:tc>
        <w:tc>
          <w:tcPr>
            <w:tcW w:w="2114" w:type="dxa"/>
            <w:vAlign w:val="center"/>
          </w:tcPr>
          <w:p>
            <w:pPr>
              <w:jc w:val="center"/>
              <w:rPr>
                <w:rFonts w:ascii="宋体" w:hAnsi="宋体" w:cs="宋体"/>
              </w:rPr>
            </w:pPr>
            <w:r>
              <w:rPr>
                <w:rFonts w:hint="eastAsia" w:ascii="宋体" w:hAnsi="宋体" w:cs="宋体"/>
              </w:rPr>
              <w:t>冷水系统输送能效比</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91" w:type="dxa"/>
            <w:vAlign w:val="center"/>
          </w:tcPr>
          <w:p>
            <w:pPr>
              <w:jc w:val="center"/>
              <w:rPr>
                <w:rFonts w:ascii="宋体" w:hAnsi="宋体" w:cs="宋体"/>
              </w:rPr>
            </w:pPr>
            <w:r>
              <w:rPr>
                <w:rFonts w:hint="eastAsia" w:ascii="宋体" w:hAnsi="宋体" w:cs="宋体"/>
              </w:rPr>
              <w:t>4</w:t>
            </w:r>
          </w:p>
        </w:tc>
        <w:tc>
          <w:tcPr>
            <w:tcW w:w="2562" w:type="dxa"/>
            <w:vAlign w:val="center"/>
          </w:tcPr>
          <w:p>
            <w:pPr>
              <w:jc w:val="center"/>
              <w:rPr>
                <w:rFonts w:ascii="宋体" w:hAnsi="宋体" w:cs="宋体"/>
              </w:rPr>
            </w:pPr>
            <w:r>
              <w:rPr>
                <w:rFonts w:hint="eastAsia" w:ascii="宋体" w:hAnsi="宋体" w:cs="宋体"/>
              </w:rPr>
              <w:t>自动控制系统</w:t>
            </w:r>
          </w:p>
        </w:tc>
        <w:tc>
          <w:tcPr>
            <w:tcW w:w="2057" w:type="dxa"/>
            <w:vAlign w:val="center"/>
          </w:tcPr>
          <w:p>
            <w:pPr>
              <w:jc w:val="center"/>
              <w:rPr>
                <w:rFonts w:ascii="宋体" w:hAnsi="宋体" w:cs="宋体"/>
              </w:rPr>
            </w:pPr>
            <w:r>
              <w:rPr>
                <w:rFonts w:hint="eastAsia" w:ascii="宋体" w:hAnsi="宋体" w:cs="宋体"/>
              </w:rPr>
              <w:t>设备的用电安全</w:t>
            </w:r>
          </w:p>
        </w:tc>
        <w:tc>
          <w:tcPr>
            <w:tcW w:w="2200" w:type="dxa"/>
            <w:vAlign w:val="center"/>
          </w:tcPr>
          <w:p>
            <w:pPr>
              <w:jc w:val="center"/>
              <w:rPr>
                <w:rFonts w:ascii="宋体" w:hAnsi="宋体" w:cs="宋体"/>
              </w:rPr>
            </w:pPr>
            <w:r>
              <w:rPr>
                <w:rFonts w:hint="eastAsia" w:ascii="宋体" w:hAnsi="宋体" w:cs="宋体"/>
              </w:rPr>
              <w:t>空调区设备噪声</w:t>
            </w:r>
          </w:p>
        </w:tc>
        <w:tc>
          <w:tcPr>
            <w:tcW w:w="2114" w:type="dxa"/>
            <w:vAlign w:val="center"/>
          </w:tcPr>
          <w:p>
            <w:pPr>
              <w:jc w:val="center"/>
              <w:rPr>
                <w:rFonts w:ascii="宋体" w:hAnsi="宋体" w:cs="宋体"/>
              </w:rPr>
            </w:pPr>
            <w:r>
              <w:rPr>
                <w:rFonts w:hint="eastAsia" w:ascii="宋体" w:hAnsi="宋体" w:cs="宋体"/>
              </w:rPr>
              <w:t>水系统流量及温差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91" w:type="dxa"/>
            <w:vAlign w:val="center"/>
          </w:tcPr>
          <w:p>
            <w:pPr>
              <w:jc w:val="center"/>
              <w:rPr>
                <w:rFonts w:ascii="宋体" w:hAnsi="宋体" w:cs="宋体"/>
              </w:rPr>
            </w:pPr>
            <w:r>
              <w:rPr>
                <w:rFonts w:hint="eastAsia" w:ascii="宋体" w:hAnsi="宋体" w:cs="宋体"/>
              </w:rPr>
              <w:t>5</w:t>
            </w:r>
          </w:p>
        </w:tc>
        <w:tc>
          <w:tcPr>
            <w:tcW w:w="2562" w:type="dxa"/>
            <w:vAlign w:val="center"/>
          </w:tcPr>
          <w:p>
            <w:pPr>
              <w:jc w:val="center"/>
              <w:rPr>
                <w:rFonts w:ascii="宋体" w:hAnsi="宋体" w:cs="宋体"/>
              </w:rPr>
            </w:pPr>
            <w:r>
              <w:rPr>
                <w:rFonts w:hint="eastAsia" w:ascii="宋体" w:hAnsi="宋体" w:cs="宋体"/>
              </w:rPr>
              <w:t>循环水泵</w:t>
            </w:r>
          </w:p>
        </w:tc>
        <w:tc>
          <w:tcPr>
            <w:tcW w:w="2057" w:type="dxa"/>
            <w:vAlign w:val="center"/>
          </w:tcPr>
          <w:p>
            <w:pPr>
              <w:jc w:val="center"/>
              <w:rPr>
                <w:rFonts w:ascii="宋体" w:hAnsi="宋体" w:cs="宋体"/>
              </w:rPr>
            </w:pPr>
            <w:r>
              <w:rPr>
                <w:rFonts w:hint="eastAsia" w:ascii="宋体" w:hAnsi="宋体" w:cs="宋体"/>
              </w:rPr>
              <w:t>/</w:t>
            </w:r>
          </w:p>
        </w:tc>
        <w:tc>
          <w:tcPr>
            <w:tcW w:w="2200" w:type="dxa"/>
            <w:vAlign w:val="center"/>
          </w:tcPr>
          <w:p>
            <w:pPr>
              <w:jc w:val="center"/>
              <w:rPr>
                <w:rFonts w:ascii="宋体" w:hAnsi="宋体" w:cs="宋体"/>
              </w:rPr>
            </w:pPr>
            <w:r>
              <w:rPr>
                <w:rFonts w:hint="eastAsia" w:ascii="宋体" w:hAnsi="宋体" w:cs="宋体"/>
              </w:rPr>
              <w:t>/</w:t>
            </w:r>
          </w:p>
        </w:tc>
        <w:tc>
          <w:tcPr>
            <w:tcW w:w="2114" w:type="dxa"/>
            <w:vAlign w:val="center"/>
          </w:tcPr>
          <w:p>
            <w:pPr>
              <w:jc w:val="center"/>
              <w:rPr>
                <w:rFonts w:ascii="宋体" w:hAnsi="宋体" w:cs="宋体"/>
              </w:rPr>
            </w:pPr>
            <w:r>
              <w:rPr>
                <w:rFonts w:hint="eastAsia" w:ascii="宋体" w:hAnsi="宋体" w:cs="宋体"/>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91" w:type="dxa"/>
            <w:vAlign w:val="center"/>
          </w:tcPr>
          <w:p>
            <w:pPr>
              <w:jc w:val="center"/>
              <w:rPr>
                <w:rFonts w:ascii="宋体" w:hAnsi="宋体" w:cs="宋体"/>
              </w:rPr>
            </w:pPr>
            <w:r>
              <w:rPr>
                <w:rFonts w:hint="eastAsia" w:ascii="宋体" w:hAnsi="宋体" w:cs="宋体"/>
              </w:rPr>
              <w:t>6</w:t>
            </w:r>
          </w:p>
        </w:tc>
        <w:tc>
          <w:tcPr>
            <w:tcW w:w="2562" w:type="dxa"/>
            <w:vAlign w:val="center"/>
          </w:tcPr>
          <w:p>
            <w:pPr>
              <w:jc w:val="center"/>
              <w:rPr>
                <w:rFonts w:ascii="宋体" w:hAnsi="宋体" w:cs="宋体"/>
              </w:rPr>
            </w:pPr>
            <w:r>
              <w:rPr>
                <w:rFonts w:hint="eastAsia" w:ascii="宋体" w:hAnsi="宋体" w:cs="宋体"/>
              </w:rPr>
              <w:t>检查井</w:t>
            </w:r>
          </w:p>
        </w:tc>
        <w:tc>
          <w:tcPr>
            <w:tcW w:w="2057" w:type="dxa"/>
            <w:vAlign w:val="center"/>
          </w:tcPr>
          <w:p>
            <w:pPr>
              <w:jc w:val="center"/>
              <w:rPr>
                <w:rFonts w:ascii="宋体" w:hAnsi="宋体" w:cs="宋体"/>
              </w:rPr>
            </w:pPr>
            <w:r>
              <w:rPr>
                <w:rFonts w:hint="eastAsia" w:ascii="宋体" w:hAnsi="宋体" w:cs="宋体"/>
              </w:rPr>
              <w:t>/</w:t>
            </w:r>
          </w:p>
        </w:tc>
        <w:tc>
          <w:tcPr>
            <w:tcW w:w="2200" w:type="dxa"/>
            <w:vAlign w:val="center"/>
          </w:tcPr>
          <w:p>
            <w:pPr>
              <w:jc w:val="center"/>
              <w:rPr>
                <w:rFonts w:ascii="宋体" w:hAnsi="宋体" w:cs="宋体"/>
              </w:rPr>
            </w:pPr>
            <w:r>
              <w:rPr>
                <w:rFonts w:hint="eastAsia" w:ascii="宋体" w:hAnsi="宋体" w:cs="宋体"/>
              </w:rPr>
              <w:t>/</w:t>
            </w:r>
          </w:p>
        </w:tc>
        <w:tc>
          <w:tcPr>
            <w:tcW w:w="2114" w:type="dxa"/>
            <w:vAlign w:val="center"/>
          </w:tcPr>
          <w:p>
            <w:pPr>
              <w:jc w:val="center"/>
              <w:rPr>
                <w:rFonts w:ascii="宋体" w:hAnsi="宋体" w:cs="宋体"/>
              </w:rPr>
            </w:pPr>
            <w:r>
              <w:rPr>
                <w:rFonts w:hint="eastAsia" w:ascii="宋体" w:hAnsi="宋体" w:cs="宋体"/>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91" w:type="dxa"/>
            <w:vAlign w:val="center"/>
          </w:tcPr>
          <w:p>
            <w:pPr>
              <w:jc w:val="center"/>
              <w:rPr>
                <w:rFonts w:ascii="宋体" w:hAnsi="宋体" w:cs="宋体"/>
              </w:rPr>
            </w:pPr>
            <w:r>
              <w:rPr>
                <w:rFonts w:hint="eastAsia" w:ascii="宋体" w:hAnsi="宋体" w:cs="宋体"/>
              </w:rPr>
              <w:t>7</w:t>
            </w:r>
          </w:p>
        </w:tc>
        <w:tc>
          <w:tcPr>
            <w:tcW w:w="2562" w:type="dxa"/>
            <w:vAlign w:val="center"/>
          </w:tcPr>
          <w:p>
            <w:pPr>
              <w:jc w:val="center"/>
              <w:rPr>
                <w:rFonts w:ascii="宋体" w:hAnsi="宋体" w:cs="宋体"/>
              </w:rPr>
            </w:pPr>
            <w:r>
              <w:rPr>
                <w:rFonts w:hint="eastAsia" w:ascii="宋体" w:hAnsi="宋体" w:cs="宋体"/>
              </w:rPr>
              <w:t>管道规格</w:t>
            </w:r>
          </w:p>
        </w:tc>
        <w:tc>
          <w:tcPr>
            <w:tcW w:w="2057" w:type="dxa"/>
            <w:vAlign w:val="center"/>
          </w:tcPr>
          <w:p>
            <w:pPr>
              <w:jc w:val="center"/>
              <w:rPr>
                <w:rFonts w:ascii="宋体" w:hAnsi="宋体" w:cs="宋体"/>
              </w:rPr>
            </w:pPr>
            <w:r>
              <w:rPr>
                <w:rFonts w:hint="eastAsia" w:ascii="宋体" w:hAnsi="宋体" w:cs="宋体"/>
              </w:rPr>
              <w:t>/</w:t>
            </w:r>
          </w:p>
        </w:tc>
        <w:tc>
          <w:tcPr>
            <w:tcW w:w="2200" w:type="dxa"/>
            <w:vAlign w:val="center"/>
          </w:tcPr>
          <w:p>
            <w:pPr>
              <w:jc w:val="center"/>
              <w:rPr>
                <w:rFonts w:ascii="宋体" w:hAnsi="宋体" w:cs="宋体"/>
              </w:rPr>
            </w:pPr>
            <w:r>
              <w:rPr>
                <w:rFonts w:hint="eastAsia" w:ascii="宋体" w:hAnsi="宋体" w:cs="宋体"/>
              </w:rPr>
              <w:t>/</w:t>
            </w:r>
          </w:p>
        </w:tc>
        <w:tc>
          <w:tcPr>
            <w:tcW w:w="2114" w:type="dxa"/>
            <w:vAlign w:val="center"/>
          </w:tcPr>
          <w:p>
            <w:pPr>
              <w:jc w:val="center"/>
              <w:rPr>
                <w:rFonts w:ascii="宋体" w:hAnsi="宋体" w:cs="宋体"/>
              </w:rPr>
            </w:pPr>
            <w:r>
              <w:rPr>
                <w:rFonts w:hint="eastAsia" w:ascii="宋体" w:hAnsi="宋体" w:cs="宋体"/>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91" w:type="dxa"/>
            <w:vAlign w:val="center"/>
          </w:tcPr>
          <w:p>
            <w:pPr>
              <w:jc w:val="center"/>
              <w:rPr>
                <w:rFonts w:ascii="宋体" w:hAnsi="宋体" w:cs="宋体"/>
              </w:rPr>
            </w:pPr>
            <w:r>
              <w:rPr>
                <w:rFonts w:hint="eastAsia" w:ascii="宋体" w:hAnsi="宋体" w:cs="宋体"/>
              </w:rPr>
              <w:t>8</w:t>
            </w:r>
          </w:p>
        </w:tc>
        <w:tc>
          <w:tcPr>
            <w:tcW w:w="2562" w:type="dxa"/>
            <w:vAlign w:val="center"/>
          </w:tcPr>
          <w:p>
            <w:pPr>
              <w:jc w:val="center"/>
              <w:rPr>
                <w:rFonts w:ascii="宋体" w:hAnsi="宋体" w:cs="宋体"/>
              </w:rPr>
            </w:pPr>
            <w:r>
              <w:rPr>
                <w:rFonts w:hint="eastAsia" w:ascii="宋体" w:hAnsi="宋体" w:cs="宋体"/>
              </w:rPr>
              <w:t>管道排气泄水设施，支架、补偿器</w:t>
            </w:r>
          </w:p>
        </w:tc>
        <w:tc>
          <w:tcPr>
            <w:tcW w:w="2057" w:type="dxa"/>
            <w:vAlign w:val="center"/>
          </w:tcPr>
          <w:p>
            <w:pPr>
              <w:jc w:val="center"/>
              <w:rPr>
                <w:rFonts w:ascii="宋体" w:hAnsi="宋体" w:cs="宋体"/>
              </w:rPr>
            </w:pPr>
            <w:r>
              <w:rPr>
                <w:rFonts w:hint="eastAsia" w:ascii="宋体" w:hAnsi="宋体" w:cs="宋体"/>
              </w:rPr>
              <w:t>/</w:t>
            </w:r>
          </w:p>
        </w:tc>
        <w:tc>
          <w:tcPr>
            <w:tcW w:w="2200" w:type="dxa"/>
            <w:vAlign w:val="center"/>
          </w:tcPr>
          <w:p>
            <w:pPr>
              <w:jc w:val="center"/>
              <w:rPr>
                <w:rFonts w:ascii="宋体" w:hAnsi="宋体" w:cs="宋体"/>
              </w:rPr>
            </w:pPr>
            <w:r>
              <w:rPr>
                <w:rFonts w:hint="eastAsia" w:ascii="宋体" w:hAnsi="宋体" w:cs="宋体"/>
              </w:rPr>
              <w:t>/</w:t>
            </w:r>
          </w:p>
        </w:tc>
        <w:tc>
          <w:tcPr>
            <w:tcW w:w="2114" w:type="dxa"/>
            <w:vAlign w:val="center"/>
          </w:tcPr>
          <w:p>
            <w:pPr>
              <w:jc w:val="center"/>
              <w:rPr>
                <w:rFonts w:ascii="宋体" w:hAnsi="宋体" w:cs="宋体"/>
              </w:rPr>
            </w:pPr>
            <w:r>
              <w:rPr>
                <w:rFonts w:hint="eastAsia" w:ascii="宋体" w:hAnsi="宋体" w:cs="宋体"/>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91" w:type="dxa"/>
            <w:vAlign w:val="center"/>
          </w:tcPr>
          <w:p>
            <w:pPr>
              <w:jc w:val="center"/>
              <w:rPr>
                <w:rFonts w:ascii="宋体" w:hAnsi="宋体" w:cs="宋体"/>
              </w:rPr>
            </w:pPr>
            <w:r>
              <w:rPr>
                <w:rFonts w:hint="eastAsia" w:ascii="宋体" w:hAnsi="宋体" w:cs="宋体"/>
              </w:rPr>
              <w:t>9</w:t>
            </w:r>
          </w:p>
        </w:tc>
        <w:tc>
          <w:tcPr>
            <w:tcW w:w="2562" w:type="dxa"/>
            <w:vAlign w:val="center"/>
          </w:tcPr>
          <w:p>
            <w:pPr>
              <w:jc w:val="center"/>
              <w:rPr>
                <w:rFonts w:ascii="宋体" w:hAnsi="宋体" w:cs="宋体"/>
              </w:rPr>
            </w:pPr>
            <w:r>
              <w:rPr>
                <w:rFonts w:hint="eastAsia" w:ascii="宋体" w:hAnsi="宋体" w:cs="宋体"/>
              </w:rPr>
              <w:t>管道保温</w:t>
            </w:r>
          </w:p>
        </w:tc>
        <w:tc>
          <w:tcPr>
            <w:tcW w:w="2057" w:type="dxa"/>
            <w:vAlign w:val="center"/>
          </w:tcPr>
          <w:p>
            <w:pPr>
              <w:jc w:val="center"/>
              <w:rPr>
                <w:rFonts w:ascii="宋体" w:hAnsi="宋体" w:cs="宋体"/>
              </w:rPr>
            </w:pPr>
            <w:r>
              <w:rPr>
                <w:rFonts w:hint="eastAsia" w:ascii="宋体" w:hAnsi="宋体" w:cs="宋体"/>
              </w:rPr>
              <w:t>/</w:t>
            </w:r>
          </w:p>
        </w:tc>
        <w:tc>
          <w:tcPr>
            <w:tcW w:w="2200" w:type="dxa"/>
            <w:vAlign w:val="center"/>
          </w:tcPr>
          <w:p>
            <w:pPr>
              <w:jc w:val="center"/>
              <w:rPr>
                <w:rFonts w:ascii="宋体" w:hAnsi="宋体" w:cs="宋体"/>
              </w:rPr>
            </w:pPr>
            <w:r>
              <w:rPr>
                <w:rFonts w:hint="eastAsia" w:ascii="宋体" w:hAnsi="宋体" w:cs="宋体"/>
              </w:rPr>
              <w:t>/</w:t>
            </w:r>
          </w:p>
        </w:tc>
        <w:tc>
          <w:tcPr>
            <w:tcW w:w="2114" w:type="dxa"/>
            <w:vAlign w:val="center"/>
          </w:tcPr>
          <w:p>
            <w:pPr>
              <w:jc w:val="center"/>
              <w:rPr>
                <w:rFonts w:ascii="宋体" w:hAnsi="宋体" w:cs="宋体"/>
              </w:rPr>
            </w:pPr>
            <w:r>
              <w:rPr>
                <w:rFonts w:hint="eastAsia" w:ascii="宋体" w:hAnsi="宋体" w:cs="宋体"/>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91" w:type="dxa"/>
            <w:vAlign w:val="center"/>
          </w:tcPr>
          <w:p>
            <w:pPr>
              <w:jc w:val="center"/>
              <w:rPr>
                <w:rFonts w:ascii="宋体" w:hAnsi="宋体" w:cs="宋体"/>
              </w:rPr>
            </w:pPr>
            <w:r>
              <w:rPr>
                <w:rFonts w:hint="eastAsia" w:ascii="宋体" w:hAnsi="宋体" w:cs="宋体"/>
              </w:rPr>
              <w:t>10</w:t>
            </w:r>
          </w:p>
        </w:tc>
        <w:tc>
          <w:tcPr>
            <w:tcW w:w="2562" w:type="dxa"/>
            <w:vAlign w:val="center"/>
          </w:tcPr>
          <w:p>
            <w:pPr>
              <w:jc w:val="center"/>
              <w:rPr>
                <w:rFonts w:ascii="宋体" w:hAnsi="宋体" w:cs="宋体"/>
              </w:rPr>
            </w:pPr>
            <w:r>
              <w:rPr>
                <w:rFonts w:hint="eastAsia" w:ascii="宋体" w:hAnsi="宋体" w:cs="宋体"/>
              </w:rPr>
              <w:t>管道水力平衡设施</w:t>
            </w:r>
          </w:p>
        </w:tc>
        <w:tc>
          <w:tcPr>
            <w:tcW w:w="2057" w:type="dxa"/>
            <w:vAlign w:val="center"/>
          </w:tcPr>
          <w:p>
            <w:pPr>
              <w:jc w:val="center"/>
              <w:rPr>
                <w:rFonts w:ascii="宋体" w:hAnsi="宋体" w:cs="宋体"/>
              </w:rPr>
            </w:pPr>
            <w:r>
              <w:rPr>
                <w:rFonts w:hint="eastAsia" w:ascii="宋体" w:hAnsi="宋体" w:cs="宋体"/>
              </w:rPr>
              <w:t>/</w:t>
            </w:r>
          </w:p>
        </w:tc>
        <w:tc>
          <w:tcPr>
            <w:tcW w:w="2200" w:type="dxa"/>
            <w:vAlign w:val="center"/>
          </w:tcPr>
          <w:p>
            <w:pPr>
              <w:jc w:val="center"/>
              <w:rPr>
                <w:rFonts w:ascii="宋体" w:hAnsi="宋体" w:cs="宋体"/>
              </w:rPr>
            </w:pPr>
            <w:r>
              <w:rPr>
                <w:rFonts w:hint="eastAsia" w:ascii="宋体" w:hAnsi="宋体" w:cs="宋体"/>
              </w:rPr>
              <w:t>/</w:t>
            </w:r>
          </w:p>
        </w:tc>
        <w:tc>
          <w:tcPr>
            <w:tcW w:w="2114" w:type="dxa"/>
            <w:vAlign w:val="center"/>
          </w:tcPr>
          <w:p>
            <w:pPr>
              <w:jc w:val="center"/>
              <w:rPr>
                <w:rFonts w:ascii="宋体" w:hAnsi="宋体" w:cs="宋体"/>
              </w:rPr>
            </w:pPr>
            <w:r>
              <w:rPr>
                <w:rFonts w:hint="eastAsia" w:ascii="宋体" w:hAnsi="宋体" w:cs="宋体"/>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91" w:type="dxa"/>
            <w:vAlign w:val="center"/>
          </w:tcPr>
          <w:p>
            <w:pPr>
              <w:jc w:val="center"/>
              <w:rPr>
                <w:rFonts w:ascii="宋体" w:hAnsi="宋体" w:cs="宋体"/>
              </w:rPr>
            </w:pPr>
            <w:r>
              <w:rPr>
                <w:rFonts w:hint="eastAsia" w:ascii="宋体" w:hAnsi="宋体" w:cs="宋体"/>
              </w:rPr>
              <w:t>11</w:t>
            </w:r>
          </w:p>
        </w:tc>
        <w:tc>
          <w:tcPr>
            <w:tcW w:w="2562" w:type="dxa"/>
            <w:vAlign w:val="center"/>
          </w:tcPr>
          <w:p>
            <w:pPr>
              <w:jc w:val="center"/>
              <w:rPr>
                <w:rFonts w:ascii="宋体" w:hAnsi="宋体" w:cs="宋体"/>
              </w:rPr>
            </w:pPr>
            <w:r>
              <w:rPr>
                <w:rFonts w:hint="eastAsia" w:ascii="宋体" w:hAnsi="宋体" w:cs="宋体"/>
              </w:rPr>
              <w:t>阀门有效性</w:t>
            </w:r>
          </w:p>
        </w:tc>
        <w:tc>
          <w:tcPr>
            <w:tcW w:w="2057" w:type="dxa"/>
            <w:vAlign w:val="center"/>
          </w:tcPr>
          <w:p>
            <w:pPr>
              <w:jc w:val="center"/>
              <w:rPr>
                <w:rFonts w:ascii="宋体" w:hAnsi="宋体" w:cs="宋体"/>
              </w:rPr>
            </w:pPr>
            <w:r>
              <w:rPr>
                <w:rFonts w:hint="eastAsia" w:ascii="宋体" w:hAnsi="宋体" w:cs="宋体"/>
              </w:rPr>
              <w:t>/</w:t>
            </w:r>
          </w:p>
        </w:tc>
        <w:tc>
          <w:tcPr>
            <w:tcW w:w="2200" w:type="dxa"/>
            <w:vAlign w:val="center"/>
          </w:tcPr>
          <w:p>
            <w:pPr>
              <w:jc w:val="center"/>
              <w:rPr>
                <w:rFonts w:ascii="宋体" w:hAnsi="宋体" w:cs="宋体"/>
              </w:rPr>
            </w:pPr>
            <w:r>
              <w:rPr>
                <w:rFonts w:hint="eastAsia" w:ascii="宋体" w:hAnsi="宋体" w:cs="宋体"/>
              </w:rPr>
              <w:t>/</w:t>
            </w:r>
          </w:p>
        </w:tc>
        <w:tc>
          <w:tcPr>
            <w:tcW w:w="2114" w:type="dxa"/>
            <w:vAlign w:val="center"/>
          </w:tcPr>
          <w:p>
            <w:pPr>
              <w:jc w:val="center"/>
              <w:rPr>
                <w:rFonts w:ascii="宋体" w:hAnsi="宋体" w:cs="宋体"/>
              </w:rPr>
            </w:pPr>
            <w:r>
              <w:rPr>
                <w:rFonts w:hint="eastAsia" w:ascii="宋体" w:hAnsi="宋体" w:cs="宋体"/>
              </w:rPr>
              <w:t>/</w:t>
            </w:r>
          </w:p>
        </w:tc>
      </w:tr>
    </w:tbl>
    <w:p>
      <w:pPr>
        <w:pStyle w:val="82"/>
        <w:spacing w:before="156" w:after="156"/>
      </w:pPr>
      <w:bookmarkStart w:id="382" w:name="_Toc3030"/>
      <w:bookmarkStart w:id="383" w:name="_Toc29049"/>
      <w:bookmarkStart w:id="384" w:name="_Toc7106"/>
      <w:bookmarkStart w:id="385" w:name="_Toc31746"/>
      <w:bookmarkStart w:id="386" w:name="_Toc16016"/>
      <w:bookmarkStart w:id="387" w:name="_Toc31190"/>
      <w:bookmarkStart w:id="388" w:name="_Toc3235"/>
      <w:bookmarkStart w:id="389" w:name="_Toc7756"/>
      <w:bookmarkStart w:id="390" w:name="_Toc8495"/>
      <w:bookmarkStart w:id="391" w:name="_Toc241610342"/>
      <w:bookmarkStart w:id="392" w:name="_Toc6258"/>
      <w:bookmarkStart w:id="393" w:name="_Toc23777"/>
      <w:bookmarkStart w:id="394" w:name="_Toc12137"/>
      <w:bookmarkStart w:id="395" w:name="_Toc241609826"/>
      <w:bookmarkStart w:id="396" w:name="_Toc24152"/>
      <w:bookmarkStart w:id="397" w:name="_Toc30532"/>
      <w:r>
        <w:rPr>
          <w:rFonts w:hint="eastAsia"/>
        </w:rPr>
        <w:t>通风和空调系统维修</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216"/>
      </w:pPr>
      <w:r>
        <w:t>在</w:t>
      </w:r>
      <w:r>
        <w:rPr>
          <w:rFonts w:hint="eastAsia"/>
        </w:rPr>
        <w:t>拟</w:t>
      </w:r>
      <w:r>
        <w:t>定设备更新和系统改造等维修</w:t>
      </w:r>
      <w:r>
        <w:rPr>
          <w:rFonts w:hint="eastAsia"/>
        </w:rPr>
        <w:t>范围和</w:t>
      </w:r>
      <w:r>
        <w:t>内容前，应首先考虑依靠调试手段来改善系统和设备的工作状况和使用效果，以避免不必要的浪费。</w:t>
      </w:r>
      <w:r>
        <w:rPr>
          <w:rFonts w:hint="eastAsia"/>
        </w:rPr>
        <w:t>并完成下列调试检查程序：</w:t>
      </w:r>
    </w:p>
    <w:p>
      <w:pPr>
        <w:pStyle w:val="178"/>
        <w:numPr>
          <w:ilvl w:val="0"/>
          <w:numId w:val="87"/>
        </w:numPr>
      </w:pPr>
      <w:r>
        <w:rPr>
          <w:rFonts w:hint="eastAsia"/>
        </w:rPr>
        <w:t>由专业人员根据系统设计、竣工资料和检查评定结果，编制出完整的调试方案；</w:t>
      </w:r>
    </w:p>
    <w:p>
      <w:pPr>
        <w:pStyle w:val="178"/>
        <w:numPr>
          <w:ilvl w:val="0"/>
          <w:numId w:val="87"/>
        </w:numPr>
      </w:pPr>
      <w:r>
        <w:rPr>
          <w:rFonts w:hint="eastAsia"/>
        </w:rPr>
        <w:t>根据调试方案，由专业人员应用专业的测试仪器仪表进行系统调试；</w:t>
      </w:r>
    </w:p>
    <w:p>
      <w:pPr>
        <w:pStyle w:val="178"/>
        <w:numPr>
          <w:ilvl w:val="0"/>
          <w:numId w:val="87"/>
        </w:numPr>
      </w:pPr>
      <w:r>
        <w:rPr>
          <w:rFonts w:hint="eastAsia"/>
        </w:rPr>
        <w:t>调试结束后，必须提供完整的系统调试报告资料。</w:t>
      </w:r>
    </w:p>
    <w:p>
      <w:pPr>
        <w:pStyle w:val="216"/>
      </w:pPr>
      <w:r>
        <w:t>通风系统与空调系统维修的</w:t>
      </w:r>
      <w:r>
        <w:rPr>
          <w:rFonts w:hint="eastAsia"/>
        </w:rPr>
        <w:t>范围与</w:t>
      </w:r>
      <w:r>
        <w:t>内容，应根据建筑物的用途、规模、使用特点、室外气象条件、负荷变化情况等因素，考虑现有系统和设备的折旧残值，通过技术经济比较确定。</w:t>
      </w:r>
    </w:p>
    <w:p>
      <w:pPr>
        <w:pStyle w:val="216"/>
      </w:pPr>
      <w:r>
        <w:t>通风系统与空调系统的自动控制内容的调整或增加，应根据建筑物的用途、系统的类型和设备运行时间，经技术经济比较确定</w:t>
      </w:r>
      <w:r>
        <w:rPr>
          <w:rFonts w:hint="eastAsia"/>
        </w:rPr>
        <w:t>，应优先考虑下列条件：</w:t>
      </w:r>
    </w:p>
    <w:p>
      <w:pPr>
        <w:pStyle w:val="178"/>
        <w:numPr>
          <w:ilvl w:val="0"/>
          <w:numId w:val="88"/>
        </w:numPr>
      </w:pPr>
      <w:r>
        <w:rPr>
          <w:rFonts w:hint="eastAsia"/>
        </w:rPr>
        <w:t>采用自动控制，才能防止事故，保证系统和设备运行的安全可靠时；</w:t>
      </w:r>
    </w:p>
    <w:p>
      <w:pPr>
        <w:pStyle w:val="178"/>
        <w:numPr>
          <w:ilvl w:val="0"/>
          <w:numId w:val="88"/>
        </w:numPr>
      </w:pPr>
      <w:r>
        <w:rPr>
          <w:rFonts w:hint="eastAsia"/>
        </w:rPr>
        <w:t>采用自动控制，可合理利用能量实现节能时；</w:t>
      </w:r>
    </w:p>
    <w:p>
      <w:pPr>
        <w:pStyle w:val="178"/>
        <w:numPr>
          <w:ilvl w:val="0"/>
          <w:numId w:val="88"/>
        </w:numPr>
      </w:pPr>
      <w:r>
        <w:rPr>
          <w:rFonts w:hint="eastAsia"/>
        </w:rPr>
        <w:t>工艺和使用条件对室内温湿度波动范围有一定要求时（如计算机房等）。</w:t>
      </w:r>
    </w:p>
    <w:p>
      <w:pPr>
        <w:pStyle w:val="216"/>
      </w:pPr>
      <w:r>
        <w:rPr>
          <w:rFonts w:hint="eastAsia"/>
        </w:rPr>
        <w:t>通风空调系统进行节能改造时，</w:t>
      </w:r>
      <w:r>
        <w:t>应由专业机构进行能耗和节能潜力评估、节能改造技术经济性分析</w:t>
      </w:r>
      <w:r>
        <w:rPr>
          <w:rFonts w:hint="eastAsia"/>
        </w:rPr>
        <w:t>，计算</w:t>
      </w:r>
      <w:r>
        <w:t>建筑能耗结果，确定节能改造维修实施内容。</w:t>
      </w:r>
    </w:p>
    <w:p>
      <w:pPr>
        <w:pStyle w:val="216"/>
      </w:pPr>
      <w:r>
        <w:t>通风与空调系统冷热源系统改造应结合建筑物负荷的实际变化情况，制定冷热源系统在不同阶段的运行策略。在有条件的场所应优先利用可再生能源和能源回收技术。</w:t>
      </w:r>
    </w:p>
    <w:p>
      <w:pPr>
        <w:pStyle w:val="216"/>
      </w:pPr>
      <w:r>
        <w:t>对于清洗、节能、调试、改造等维修项目，实施前应规定对实施结果予以量化约束。</w:t>
      </w:r>
      <w:r>
        <w:rPr>
          <w:rFonts w:hint="eastAsia"/>
        </w:rPr>
        <w:t>与专业服务机构</w:t>
      </w:r>
      <w:r>
        <w:t>签订的合同文本中</w:t>
      </w:r>
      <w:r>
        <w:rPr>
          <w:rFonts w:hint="eastAsia"/>
        </w:rPr>
        <w:t>，应</w:t>
      </w:r>
      <w:r>
        <w:t>明确保证实施结果和对结果的保证时间</w:t>
      </w:r>
      <w:r>
        <w:rPr>
          <w:rFonts w:hint="eastAsia"/>
        </w:rPr>
        <w:t>，</w:t>
      </w:r>
      <w:r>
        <w:t>工程验收后，在保证时间内不得再度追加或者重复投资。</w:t>
      </w:r>
    </w:p>
    <w:p>
      <w:pPr>
        <w:pStyle w:val="216"/>
      </w:pPr>
      <w:r>
        <w:t>对通风空调系统的设备进行更新且不影响其他分部工程时，空调系统的主要设备应具备国家相关部门检测报告和国家规定的强制性认证报告，其技术性能指标应符合相应产品标准的要求。</w:t>
      </w:r>
    </w:p>
    <w:p>
      <w:pPr>
        <w:pStyle w:val="216"/>
      </w:pPr>
      <w:r>
        <w:rPr>
          <w:rFonts w:hint="eastAsia"/>
        </w:rPr>
        <w:t>通风空调设备选型时，</w:t>
      </w:r>
      <w:r>
        <w:t>宜选用高效节能型产品，严禁采用国家已淘汰型产品</w:t>
      </w:r>
      <w:r>
        <w:rPr>
          <w:rFonts w:hint="eastAsia"/>
        </w:rPr>
        <w:t>。</w:t>
      </w:r>
      <w:r>
        <w:t>对通风空调系统的设备进行更新且影响其他分部工程（比如装修分部工程）时，需要综合考虑，进行经济性和技术分析。</w:t>
      </w:r>
    </w:p>
    <w:p>
      <w:pPr>
        <w:pStyle w:val="216"/>
      </w:pPr>
      <w:r>
        <w:t>经检查评定为</w:t>
      </w:r>
      <w:r>
        <w:rPr>
          <w:rFonts w:hint="eastAsia"/>
        </w:rPr>
        <w:t>大中小修</w:t>
      </w:r>
      <w:r>
        <w:t>后，应依据国家现行有关标准规定编制</w:t>
      </w:r>
      <w:r>
        <w:rPr>
          <w:rFonts w:hint="eastAsia"/>
        </w:rPr>
        <w:t>维修</w:t>
      </w:r>
      <w:r>
        <w:t>方案。</w:t>
      </w:r>
    </w:p>
    <w:p>
      <w:pPr>
        <w:pStyle w:val="216"/>
      </w:pPr>
      <w:r>
        <w:rPr>
          <w:rFonts w:hint="eastAsia"/>
        </w:rPr>
        <w:t>办公用房的</w:t>
      </w:r>
      <w:r>
        <w:t>空调</w:t>
      </w:r>
      <w:r>
        <w:rPr>
          <w:rFonts w:hint="eastAsia"/>
        </w:rPr>
        <w:t>系统的形式决定了</w:t>
      </w:r>
      <w:r>
        <w:t>整个</w:t>
      </w:r>
      <w:r>
        <w:rPr>
          <w:rFonts w:hint="eastAsia"/>
        </w:rPr>
        <w:t>维修</w:t>
      </w:r>
      <w:r>
        <w:t>投资</w:t>
      </w:r>
      <w:r>
        <w:rPr>
          <w:rFonts w:hint="eastAsia"/>
        </w:rPr>
        <w:t>额度</w:t>
      </w:r>
      <w:r>
        <w:t>，系统的冷热源（主机部分）直接决定了空调系统投资及</w:t>
      </w:r>
      <w:r>
        <w:rPr>
          <w:rFonts w:hint="eastAsia"/>
        </w:rPr>
        <w:t>日常</w:t>
      </w:r>
      <w:r>
        <w:t>运行费用。</w:t>
      </w:r>
      <w:r>
        <w:rPr>
          <w:rFonts w:hint="eastAsia"/>
        </w:rPr>
        <w:t>编制维修方案时，</w:t>
      </w:r>
      <w:r>
        <w:t>冷热源选择应根据项目所在气候分区、项目规模、 使用功能、周边现有能源条件、价格、国家节能减排、环保政策的相关要求以及业主使用</w:t>
      </w:r>
      <w:r>
        <w:rPr>
          <w:rFonts w:hint="eastAsia"/>
        </w:rPr>
        <w:t>需要</w:t>
      </w:r>
      <w:r>
        <w:t>、类似项目使用效果、经验，综合确定。</w:t>
      </w:r>
    </w:p>
    <w:p>
      <w:pPr>
        <w:pStyle w:val="216"/>
      </w:pPr>
      <w:r>
        <w:rPr>
          <w:rFonts w:hint="eastAsia"/>
        </w:rPr>
        <w:t>大中小修</w:t>
      </w:r>
      <w:r>
        <w:t>方案至少应包括以下内容：</w:t>
      </w:r>
    </w:p>
    <w:p>
      <w:pPr>
        <w:pStyle w:val="178"/>
        <w:numPr>
          <w:ilvl w:val="0"/>
          <w:numId w:val="89"/>
        </w:numPr>
      </w:pPr>
      <w:r>
        <w:rPr>
          <w:rFonts w:hint="eastAsia"/>
        </w:rPr>
        <w:t>建筑基本概况，包括建筑面积、建筑年代、建筑高度以及平面布置等；</w:t>
      </w:r>
    </w:p>
    <w:p>
      <w:pPr>
        <w:pStyle w:val="178"/>
        <w:numPr>
          <w:ilvl w:val="0"/>
          <w:numId w:val="89"/>
        </w:numPr>
      </w:pPr>
      <w:r>
        <w:rPr>
          <w:rFonts w:hint="eastAsia"/>
        </w:rPr>
        <w:t>通风空调系统现状，包括原系统形式、设备参数、数量及使用运行状况；</w:t>
      </w:r>
    </w:p>
    <w:p>
      <w:pPr>
        <w:pStyle w:val="178"/>
        <w:numPr>
          <w:ilvl w:val="0"/>
          <w:numId w:val="89"/>
        </w:numPr>
      </w:pPr>
      <w:r>
        <w:rPr>
          <w:rFonts w:hint="eastAsia"/>
        </w:rPr>
        <w:t>通风空调系统的检查与评定结果，包括检查内容和检查结果；</w:t>
      </w:r>
    </w:p>
    <w:p>
      <w:pPr>
        <w:pStyle w:val="178"/>
        <w:numPr>
          <w:ilvl w:val="0"/>
          <w:numId w:val="89"/>
        </w:numPr>
      </w:pPr>
      <w:r>
        <w:rPr>
          <w:rFonts w:hint="eastAsia"/>
        </w:rPr>
        <w:t>通风空调系统大中小修的可行性方案；</w:t>
      </w:r>
    </w:p>
    <w:p>
      <w:pPr>
        <w:pStyle w:val="178"/>
        <w:numPr>
          <w:ilvl w:val="0"/>
          <w:numId w:val="89"/>
        </w:numPr>
      </w:pPr>
      <w:r>
        <w:rPr>
          <w:rFonts w:hint="eastAsia"/>
        </w:rPr>
        <w:t>维修改造方案，包括维修改造内容、初步设计方案、自控策略以及工程施工周期等。</w:t>
      </w:r>
    </w:p>
    <w:p>
      <w:pPr>
        <w:pStyle w:val="82"/>
        <w:spacing w:before="156" w:after="156"/>
      </w:pPr>
      <w:bookmarkStart w:id="398" w:name="_Toc20500"/>
      <w:bookmarkStart w:id="399" w:name="_Toc18072"/>
      <w:bookmarkStart w:id="400" w:name="_Toc23732"/>
      <w:bookmarkStart w:id="401" w:name="_Toc32167"/>
      <w:bookmarkStart w:id="402" w:name="_Toc31426"/>
      <w:bookmarkStart w:id="403" w:name="_Toc8509"/>
      <w:bookmarkStart w:id="404" w:name="_Toc13989"/>
      <w:bookmarkStart w:id="405" w:name="_Toc241609827"/>
      <w:bookmarkStart w:id="406" w:name="_Toc24491"/>
      <w:bookmarkStart w:id="407" w:name="_Toc23091"/>
      <w:bookmarkStart w:id="408" w:name="_Toc241610343"/>
      <w:bookmarkStart w:id="409" w:name="_Toc6394"/>
      <w:bookmarkStart w:id="410" w:name="_Toc21680"/>
      <w:bookmarkStart w:id="411" w:name="_Toc31318"/>
      <w:bookmarkStart w:id="412" w:name="_Toc2505"/>
      <w:bookmarkStart w:id="413" w:name="_Toc15357"/>
      <w:r>
        <w:rPr>
          <w:rFonts w:hint="eastAsia"/>
        </w:rPr>
        <w:t>通风和空调系统维修常见设备材料选用</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216"/>
      </w:pPr>
      <w:r>
        <w:rPr>
          <w:rFonts w:hint="eastAsia"/>
        </w:rPr>
        <w:t>中央空调系统日常维修出现的常见部位位于风口、风机盘管、阀门、管道锈蚀渗水、主机故障等情况。</w:t>
      </w:r>
    </w:p>
    <w:p>
      <w:pPr>
        <w:pStyle w:val="216"/>
      </w:pPr>
      <w:r>
        <w:rPr>
          <w:rFonts w:hint="eastAsia"/>
        </w:rPr>
        <w:t>机组选型时，在</w:t>
      </w:r>
      <w:r>
        <w:t>长沙地区，对于小型</w:t>
      </w:r>
      <w:r>
        <w:rPr>
          <w:rFonts w:hint="eastAsia"/>
        </w:rPr>
        <w:t>空调</w:t>
      </w:r>
      <w:r>
        <w:t>系统，一般采用多联机系统或者风冷热泵系统，夏季制冷，冬季制热</w:t>
      </w:r>
      <w:r>
        <w:rPr>
          <w:rFonts w:hint="eastAsia"/>
        </w:rPr>
        <w:t>。</w:t>
      </w:r>
      <w:r>
        <w:t>便于施工及后期维护管理。对于大型系统，一般制冷和制热分开，冷水机组(压缩、螺杆、离心、磁悬浮等）</w:t>
      </w:r>
      <w:r>
        <w:rPr>
          <w:rFonts w:hint="eastAsia"/>
        </w:rPr>
        <w:t>制冷</w:t>
      </w:r>
      <w:r>
        <w:t>，真空热水锅炉</w:t>
      </w:r>
      <w:r>
        <w:rPr>
          <w:rFonts w:hint="eastAsia"/>
        </w:rPr>
        <w:t>制热</w:t>
      </w:r>
      <w:r>
        <w:t>或者直接采用直燃机系列夏季制冷冬季制热。</w:t>
      </w:r>
    </w:p>
    <w:p>
      <w:pPr>
        <w:pStyle w:val="216"/>
      </w:pPr>
      <w:r>
        <w:rPr>
          <w:rFonts w:hint="eastAsia"/>
        </w:rPr>
        <w:t>空调水系统管材最低标准应符合给排水系统维修的管材选取要求，考虑到使用耐候性，可选用</w:t>
      </w:r>
      <w:r>
        <w:t>不锈钢管或镀锌钢管内衬塑，提高管材使用寿命</w:t>
      </w:r>
      <w:r>
        <w:rPr>
          <w:rFonts w:hint="eastAsia"/>
        </w:rPr>
        <w:t>。</w:t>
      </w:r>
      <w:r>
        <w:t>冷凝水管采用PVC管</w:t>
      </w:r>
      <w:r>
        <w:rPr>
          <w:rFonts w:hint="eastAsia"/>
        </w:rPr>
        <w:t>、UPVC管</w:t>
      </w:r>
      <w:r>
        <w:t>或者镀锌钢管。</w:t>
      </w:r>
    </w:p>
    <w:p>
      <w:pPr>
        <w:pStyle w:val="216"/>
      </w:pPr>
      <w:r>
        <w:rPr>
          <w:rFonts w:hint="eastAsia"/>
        </w:rPr>
        <w:t>风管材料选用单面彩钢酚醛复合板，壁厚达到规范要求.</w:t>
      </w:r>
    </w:p>
    <w:p>
      <w:pPr>
        <w:pStyle w:val="216"/>
      </w:pPr>
      <w:r>
        <w:rPr>
          <w:rFonts w:hint="eastAsia"/>
        </w:rPr>
        <w:t>空调系统的管道保温材料</w:t>
      </w:r>
      <w:r>
        <w:t>一般采用橡塑保温材料，室外管道保温材料厚度宜在室内基础上加厚 10</w:t>
      </w:r>
      <w:r>
        <w:rPr>
          <w:rFonts w:hint="eastAsia"/>
        </w:rPr>
        <w:t>mm</w:t>
      </w:r>
      <w:r>
        <w:t>，外层采用玻纤布或锡铂板保护。</w:t>
      </w:r>
    </w:p>
    <w:p>
      <w:pPr>
        <w:pStyle w:val="216"/>
      </w:pPr>
      <w:r>
        <w:rPr>
          <w:rFonts w:hint="eastAsia"/>
        </w:rPr>
        <w:t>办公用房的通风系统</w:t>
      </w:r>
      <w:r>
        <w:t>主要是设备用房</w:t>
      </w:r>
      <w:r>
        <w:rPr>
          <w:rFonts w:hint="eastAsia"/>
        </w:rPr>
        <w:t>、</w:t>
      </w:r>
      <w:r>
        <w:t>地下室车库通风。可选用通用风机，管材选用镀锌钢板风管。</w:t>
      </w:r>
    </w:p>
    <w:p>
      <w:pPr>
        <w:pStyle w:val="82"/>
        <w:spacing w:before="156" w:after="156"/>
      </w:pPr>
      <w:bookmarkStart w:id="414" w:name="_Toc11630"/>
      <w:bookmarkStart w:id="415" w:name="_Toc12983"/>
      <w:bookmarkStart w:id="416" w:name="_Toc17957"/>
      <w:bookmarkStart w:id="417" w:name="_Toc7476"/>
      <w:bookmarkStart w:id="418" w:name="_Toc5159"/>
      <w:bookmarkStart w:id="419" w:name="_Toc24510"/>
      <w:bookmarkStart w:id="420" w:name="_Toc24490"/>
      <w:bookmarkStart w:id="421" w:name="_Toc7898"/>
      <w:bookmarkStart w:id="422" w:name="_Toc26382"/>
      <w:bookmarkStart w:id="423" w:name="_Toc17183"/>
      <w:bookmarkStart w:id="424" w:name="_Toc20451"/>
      <w:bookmarkStart w:id="425" w:name="_Toc241610344"/>
      <w:bookmarkStart w:id="426" w:name="_Toc241609828"/>
      <w:bookmarkStart w:id="427" w:name="_Toc27142"/>
      <w:bookmarkStart w:id="428" w:name="_Toc11226"/>
      <w:bookmarkStart w:id="429" w:name="_Toc29576"/>
      <w:r>
        <w:rPr>
          <w:rFonts w:hint="eastAsia"/>
        </w:rPr>
        <w:t>通风和空调系统维修验收</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ind w:firstLine="420" w:firstLineChars="200"/>
        <w:rPr>
          <w:rFonts w:ascii="宋体" w:hAnsi="宋体" w:cs="宋体"/>
        </w:rPr>
      </w:pPr>
      <w:r>
        <w:rPr>
          <w:rFonts w:hint="eastAsia"/>
        </w:rPr>
        <w:t>通风空调</w:t>
      </w:r>
      <w:r>
        <w:t>系统日常维修、</w:t>
      </w:r>
      <w:r>
        <w:rPr>
          <w:rFonts w:hint="eastAsia"/>
        </w:rPr>
        <w:t>大中小修</w:t>
      </w:r>
      <w:r>
        <w:t>的设计、施工，应参照</w:t>
      </w:r>
      <w:r>
        <w:rPr>
          <w:rFonts w:hint="eastAsia"/>
        </w:rPr>
        <w:t>相关</w:t>
      </w:r>
      <w:r>
        <w:t>标准执行</w:t>
      </w:r>
      <w:r>
        <w:rPr>
          <w:rFonts w:hint="eastAsia"/>
        </w:rPr>
        <w:t>，具体包括</w:t>
      </w:r>
      <w:r>
        <w:rPr>
          <w:rFonts w:hint="eastAsia" w:ascii="宋体" w:hAnsi="宋体" w:cs="宋体"/>
        </w:rPr>
        <w:t>GB 50736、GB 50189、GB/T 50378、建标1578、JGJ 176、GB 50242、GB 50411、GB/T 18713、GB 50738、GB 50411、GB 5024、GB19210、WS 10013等。</w:t>
      </w:r>
    </w:p>
    <w:p>
      <w:pPr>
        <w:pStyle w:val="60"/>
        <w:ind w:firstLine="420"/>
      </w:pPr>
    </w:p>
    <w:p>
      <w:pPr>
        <w:pStyle w:val="60"/>
        <w:ind w:firstLine="420"/>
      </w:pPr>
    </w:p>
    <w:p>
      <w:pPr>
        <w:pStyle w:val="60"/>
        <w:ind w:firstLine="420"/>
        <w:sectPr>
          <w:pgSz w:w="11906" w:h="16838"/>
          <w:pgMar w:top="1928" w:right="1134" w:bottom="1134" w:left="1134" w:header="1418" w:footer="1134" w:gutter="284"/>
          <w:cols w:space="425" w:num="1"/>
          <w:formProt w:val="0"/>
          <w:docGrid w:type="lines" w:linePitch="312" w:charSpace="0"/>
        </w:sectPr>
      </w:pPr>
    </w:p>
    <w:p>
      <w:pPr>
        <w:pStyle w:val="202"/>
        <w:rPr>
          <w:rFonts w:hint="eastAsia"/>
        </w:rPr>
      </w:pPr>
    </w:p>
    <w:p>
      <w:pPr>
        <w:pStyle w:val="203"/>
      </w:pPr>
    </w:p>
    <w:p>
      <w:pPr>
        <w:pStyle w:val="80"/>
        <w:spacing w:before="78" w:after="156"/>
      </w:pPr>
      <w:bookmarkStart w:id="430" w:name="_Toc7354"/>
      <w:r>
        <w:rPr>
          <w:rFonts w:hint="eastAsia"/>
        </w:rPr>
        <w:br w:type="textWrapping"/>
      </w:r>
      <w:bookmarkStart w:id="431" w:name="_Toc241610345"/>
      <w:bookmarkStart w:id="432" w:name="_Toc241609829"/>
      <w:r>
        <w:rPr>
          <w:rFonts w:hint="eastAsia"/>
        </w:rPr>
        <w:t>（规范性）</w:t>
      </w:r>
      <w:r>
        <w:rPr>
          <w:rFonts w:hint="eastAsia"/>
        </w:rPr>
        <w:br w:type="textWrapping"/>
      </w:r>
      <w:r>
        <w:rPr>
          <w:rFonts w:hint="eastAsia"/>
        </w:rPr>
        <w:t>电气系统检查、维修与验收技术要求</w:t>
      </w:r>
      <w:bookmarkEnd w:id="430"/>
      <w:bookmarkEnd w:id="431"/>
      <w:bookmarkEnd w:id="432"/>
    </w:p>
    <w:p>
      <w:pPr>
        <w:pStyle w:val="82"/>
        <w:spacing w:before="156" w:after="156"/>
      </w:pPr>
      <w:bookmarkStart w:id="433" w:name="_Toc241610346"/>
      <w:bookmarkStart w:id="434" w:name="_Toc10536"/>
      <w:bookmarkStart w:id="435" w:name="_Toc5758"/>
      <w:bookmarkStart w:id="436" w:name="_Toc15272"/>
      <w:bookmarkStart w:id="437" w:name="_Toc15752"/>
      <w:bookmarkStart w:id="438" w:name="_Toc10927"/>
      <w:bookmarkStart w:id="439" w:name="_Toc8208"/>
      <w:bookmarkStart w:id="440" w:name="_Toc31254"/>
      <w:bookmarkStart w:id="441" w:name="_Toc4245"/>
      <w:bookmarkStart w:id="442" w:name="_Toc241609830"/>
      <w:bookmarkStart w:id="443" w:name="_Toc32361"/>
      <w:bookmarkStart w:id="444" w:name="_Toc20156"/>
      <w:bookmarkStart w:id="445" w:name="_Toc9835"/>
      <w:bookmarkStart w:id="446" w:name="_Toc7183"/>
      <w:bookmarkStart w:id="447" w:name="_Toc14031"/>
      <w:bookmarkStart w:id="448" w:name="_Toc5884"/>
      <w:r>
        <w:rPr>
          <w:rFonts w:hint="eastAsia"/>
        </w:rPr>
        <w:t>一般规定与检查</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216"/>
      </w:pPr>
      <w:r>
        <w:t>电气系统由变配电室、供电干线、动力、照明、备用和不间断电源、 防雷及接地、室外电气</w:t>
      </w:r>
      <w:r>
        <w:rPr>
          <w:rFonts w:hint="eastAsia"/>
        </w:rPr>
        <w:t>管线</w:t>
      </w:r>
      <w:r>
        <w:t>子系统组成。</w:t>
      </w:r>
    </w:p>
    <w:p>
      <w:pPr>
        <w:pStyle w:val="216"/>
      </w:pPr>
      <w:r>
        <w:rPr>
          <w:rFonts w:hint="eastAsia"/>
        </w:rPr>
        <w:t>电</w:t>
      </w:r>
      <w:r>
        <w:t>力、照明和建筑物防雷接地等电气系统的检查、评定与维修不包括</w:t>
      </w:r>
      <w:r>
        <w:rPr>
          <w:rFonts w:hint="eastAsia"/>
        </w:rPr>
        <w:t>用电计量设备前端、</w:t>
      </w:r>
      <w:r>
        <w:t>由市政供给电力的电源</w:t>
      </w:r>
      <w:r>
        <w:rPr>
          <w:rFonts w:hint="eastAsia"/>
        </w:rPr>
        <w:t>、电网</w:t>
      </w:r>
      <w:r>
        <w:t>部分。</w:t>
      </w:r>
    </w:p>
    <w:p>
      <w:pPr>
        <w:pStyle w:val="216"/>
      </w:pPr>
      <w:r>
        <w:t>电气各子系统与智能化各子系统间监测和控制信号的准确性，在每次维修或改造后均应进行测试，以确保两者衔接有效。</w:t>
      </w:r>
    </w:p>
    <w:p>
      <w:pPr>
        <w:pStyle w:val="216"/>
      </w:pPr>
      <w:r>
        <w:rPr>
          <w:rFonts w:hint="eastAsia"/>
        </w:rPr>
        <w:t>电气系统</w:t>
      </w:r>
      <w:r>
        <w:t>维修分</w:t>
      </w:r>
      <w:r>
        <w:rPr>
          <w:rFonts w:hint="eastAsia"/>
        </w:rPr>
        <w:t>日常维修和大中小修，</w:t>
      </w:r>
      <w:r>
        <w:t>经</w:t>
      </w:r>
      <w:r>
        <w:rPr>
          <w:rFonts w:hint="eastAsia"/>
        </w:rPr>
        <w:t>使用单位</w:t>
      </w:r>
      <w:r>
        <w:t>检查评定为</w:t>
      </w:r>
      <w:r>
        <w:rPr>
          <w:rFonts w:hint="eastAsia"/>
        </w:rPr>
        <w:t>大中小修</w:t>
      </w:r>
      <w:r>
        <w:t>后，应依据国家现行有关标准的规定编制</w:t>
      </w:r>
      <w:r>
        <w:rPr>
          <w:rFonts w:hint="eastAsia"/>
        </w:rPr>
        <w:t>大中小修</w:t>
      </w:r>
      <w:r>
        <w:t>方案</w:t>
      </w:r>
      <w:r>
        <w:rPr>
          <w:rFonts w:hint="eastAsia"/>
        </w:rPr>
        <w:t>。</w:t>
      </w:r>
    </w:p>
    <w:p>
      <w:pPr>
        <w:pStyle w:val="216"/>
      </w:pPr>
      <w:r>
        <w:rPr>
          <w:rFonts w:hint="eastAsia"/>
        </w:rPr>
        <w:t>电气系统日常维修基本内容包括</w:t>
      </w:r>
      <w:r>
        <w:t>：</w:t>
      </w:r>
    </w:p>
    <w:p>
      <w:pPr>
        <w:pStyle w:val="178"/>
        <w:numPr>
          <w:ilvl w:val="0"/>
          <w:numId w:val="90"/>
        </w:numPr>
      </w:pPr>
      <w:r>
        <w:rPr>
          <w:rFonts w:hint="eastAsia"/>
        </w:rPr>
        <w:t>有计划的停电清扫以及导电连接处的紧固等工作；</w:t>
      </w:r>
    </w:p>
    <w:p>
      <w:pPr>
        <w:pStyle w:val="178"/>
        <w:numPr>
          <w:ilvl w:val="0"/>
          <w:numId w:val="90"/>
        </w:numPr>
      </w:pPr>
      <w:r>
        <w:rPr>
          <w:rFonts w:hint="eastAsia"/>
        </w:rPr>
        <w:t>照明灯具、开关插座、配电箱内熔断器的熔芯、熔丝和蓄电池等易损零、部件损坏的更换；</w:t>
      </w:r>
    </w:p>
    <w:p>
      <w:pPr>
        <w:pStyle w:val="178"/>
        <w:numPr>
          <w:ilvl w:val="0"/>
          <w:numId w:val="90"/>
        </w:numPr>
      </w:pPr>
      <w:r>
        <w:rPr>
          <w:rFonts w:hint="eastAsia"/>
        </w:rPr>
        <w:t>末级配电箱、控制箱后的线路因失修损坏或个别用电回路因增大容量需更换电线或电缆；</w:t>
      </w:r>
    </w:p>
    <w:p>
      <w:pPr>
        <w:pStyle w:val="178"/>
        <w:numPr>
          <w:ilvl w:val="0"/>
          <w:numId w:val="90"/>
        </w:numPr>
      </w:pPr>
      <w:r>
        <w:rPr>
          <w:rFonts w:hint="eastAsia"/>
        </w:rPr>
        <w:t>末级配电箱、控制箱内小型元件损坏的更换；</w:t>
      </w:r>
    </w:p>
    <w:p>
      <w:pPr>
        <w:pStyle w:val="178"/>
        <w:numPr>
          <w:ilvl w:val="0"/>
          <w:numId w:val="90"/>
        </w:numPr>
      </w:pPr>
      <w:r>
        <w:rPr>
          <w:rFonts w:hint="eastAsia"/>
        </w:rPr>
        <w:t>在不涉及建筑结构、装饰装修饰面、变配电装置和供电干线改变的情况下，对小型电气设备、器具和灯具进行更换；</w:t>
      </w:r>
    </w:p>
    <w:p>
      <w:pPr>
        <w:pStyle w:val="178"/>
        <w:numPr>
          <w:ilvl w:val="0"/>
          <w:numId w:val="90"/>
        </w:numPr>
      </w:pPr>
      <w:r>
        <w:rPr>
          <w:rFonts w:hint="eastAsia"/>
        </w:rPr>
        <w:t>按有关规定对变配电装置进行预防性试验，对防雷系统进行油漆，以及对接地装置接地电阻进行检测。</w:t>
      </w:r>
    </w:p>
    <w:p>
      <w:pPr>
        <w:pStyle w:val="216"/>
      </w:pPr>
      <w:r>
        <w:rPr>
          <w:rFonts w:hint="eastAsia"/>
        </w:rPr>
        <w:t>电气系统的大中小修主要内容包括：</w:t>
      </w:r>
    </w:p>
    <w:p>
      <w:pPr>
        <w:pStyle w:val="178"/>
        <w:numPr>
          <w:ilvl w:val="0"/>
          <w:numId w:val="91"/>
        </w:numPr>
      </w:pPr>
      <w:r>
        <w:rPr>
          <w:rFonts w:hint="eastAsia"/>
        </w:rPr>
        <w:t>变配电室：主要设备（变压器、高低压开关柜等）以及供配电干线进行重新安装或敷设；</w:t>
      </w:r>
    </w:p>
    <w:p>
      <w:pPr>
        <w:pStyle w:val="178"/>
        <w:numPr>
          <w:ilvl w:val="0"/>
          <w:numId w:val="91"/>
        </w:numPr>
      </w:pPr>
      <w:r>
        <w:rPr>
          <w:rFonts w:hint="eastAsia"/>
        </w:rPr>
        <w:t>动力系统：配电箱、电缆及部分管路进行安装或敷设；</w:t>
      </w:r>
    </w:p>
    <w:p>
      <w:pPr>
        <w:pStyle w:val="178"/>
        <w:numPr>
          <w:ilvl w:val="0"/>
          <w:numId w:val="91"/>
        </w:numPr>
      </w:pPr>
      <w:r>
        <w:rPr>
          <w:rFonts w:hint="eastAsia"/>
        </w:rPr>
        <w:t>照明系统：配电箱、电缆、灯具等小电器及部分管路进行安装或敷设；</w:t>
      </w:r>
    </w:p>
    <w:p>
      <w:pPr>
        <w:pStyle w:val="178"/>
        <w:numPr>
          <w:ilvl w:val="0"/>
          <w:numId w:val="91"/>
        </w:numPr>
      </w:pPr>
      <w:r>
        <w:rPr>
          <w:rFonts w:hint="eastAsia"/>
        </w:rPr>
        <w:t>备用及不间断电源系统：配电箱、电缆、箱内电池进行安装或敷设；</w:t>
      </w:r>
    </w:p>
    <w:p>
      <w:pPr>
        <w:pStyle w:val="178"/>
        <w:numPr>
          <w:ilvl w:val="0"/>
          <w:numId w:val="91"/>
        </w:numPr>
      </w:pPr>
      <w:r>
        <w:rPr>
          <w:rFonts w:hint="eastAsia"/>
        </w:rPr>
        <w:t>防雷及接地：对接闪器或引下线更新安装，对接地装置补设接地桩；</w:t>
      </w:r>
    </w:p>
    <w:p>
      <w:pPr>
        <w:pStyle w:val="178"/>
        <w:numPr>
          <w:ilvl w:val="0"/>
          <w:numId w:val="91"/>
        </w:numPr>
      </w:pPr>
      <w:r>
        <w:rPr>
          <w:rFonts w:hint="eastAsia"/>
        </w:rPr>
        <w:t>选用当前节能、节电、效率高的电气设备对原系统进行改造。</w:t>
      </w:r>
    </w:p>
    <w:p>
      <w:pPr>
        <w:pStyle w:val="216"/>
      </w:pPr>
      <w:r>
        <w:rPr>
          <w:rFonts w:hint="eastAsia"/>
        </w:rPr>
        <w:t>办公用房的</w:t>
      </w:r>
      <w:r>
        <w:t>其他系统检查评定后需进行</w:t>
      </w:r>
      <w:r>
        <w:rPr>
          <w:rFonts w:hint="eastAsia"/>
        </w:rPr>
        <w:t>大中小修</w:t>
      </w:r>
      <w:r>
        <w:t>时，电气系统也应统筹考虑安排</w:t>
      </w:r>
      <w:r>
        <w:rPr>
          <w:rFonts w:hint="eastAsia"/>
        </w:rPr>
        <w:t>大中小修，优先考虑下列情况下的大中小修</w:t>
      </w:r>
      <w:r>
        <w:t>：</w:t>
      </w:r>
    </w:p>
    <w:p>
      <w:pPr>
        <w:pStyle w:val="178"/>
        <w:numPr>
          <w:ilvl w:val="0"/>
          <w:numId w:val="92"/>
        </w:numPr>
      </w:pPr>
      <w:r>
        <w:rPr>
          <w:rFonts w:hint="eastAsia"/>
        </w:rPr>
        <w:t>在承重、围护、建筑装饰装修系统安排大中小修时，涉及电气系统拆装且该系统部分材料无法利用时，则应同步安排电气系统拆装部分大中小修；</w:t>
      </w:r>
    </w:p>
    <w:p>
      <w:pPr>
        <w:pStyle w:val="178"/>
        <w:numPr>
          <w:ilvl w:val="0"/>
          <w:numId w:val="92"/>
        </w:numPr>
      </w:pPr>
      <w:r>
        <w:rPr>
          <w:rFonts w:hint="eastAsia"/>
        </w:rPr>
        <w:t>在其他功能系统（如：给排水、通风与空调、电梯、建筑节能等等系统）安排大中小修时，应对其他各系统中更新的用电设备电气容量进行设计核算，如原配电设施无法满足设计要求时，则应同步安排电气系统大中小修。</w:t>
      </w:r>
    </w:p>
    <w:p>
      <w:pPr>
        <w:pStyle w:val="216"/>
      </w:pPr>
      <w:r>
        <w:t>经</w:t>
      </w:r>
      <w:r>
        <w:rPr>
          <w:rFonts w:hint="eastAsia"/>
        </w:rPr>
        <w:t>大中小修</w:t>
      </w:r>
      <w:r>
        <w:t>的电气系统，其预期的正常使用年限不宜低于15年。</w:t>
      </w:r>
    </w:p>
    <w:p>
      <w:pPr>
        <w:pStyle w:val="216"/>
      </w:pPr>
      <w:r>
        <w:t>具备条件的办公区，在进行电气系统</w:t>
      </w:r>
      <w:r>
        <w:rPr>
          <w:rFonts w:hint="eastAsia"/>
        </w:rPr>
        <w:t>大中小修</w:t>
      </w:r>
      <w:r>
        <w:t>时，应结合使用单位电动汽车配备更新计划以及职工购买使用电动汽车需求，利用内部停车场资源，规划建设电动汽车专用停车位和充电设施，原则上建设充电设施或预留建设安装条件的车位比例不低于总车位的10％。</w:t>
      </w:r>
    </w:p>
    <w:p>
      <w:pPr>
        <w:pStyle w:val="216"/>
      </w:pPr>
      <w:r>
        <w:t>电气系统检查，分为日常检查</w:t>
      </w:r>
      <w:r>
        <w:rPr>
          <w:rFonts w:hint="eastAsia"/>
        </w:rPr>
        <w:t>和</w:t>
      </w:r>
      <w:r>
        <w:t>综合检查</w:t>
      </w:r>
      <w:r>
        <w:rPr>
          <w:rFonts w:hint="eastAsia"/>
        </w:rPr>
        <w:t>，由使用单位负责实施</w:t>
      </w:r>
      <w:r>
        <w:t>。日常检查中，专门管理人员巡视每日不少于1次；定期维护检查由物业管理部门（或使用单位）组织，安全检查每年不得少于一次。</w:t>
      </w:r>
    </w:p>
    <w:p>
      <w:pPr>
        <w:pStyle w:val="216"/>
      </w:pPr>
      <w:r>
        <w:rPr>
          <w:rFonts w:hint="eastAsia"/>
        </w:rPr>
        <w:t>电气系统</w:t>
      </w:r>
      <w:r>
        <w:t>日常检查</w:t>
      </w:r>
      <w:r>
        <w:rPr>
          <w:rFonts w:hint="eastAsia"/>
        </w:rPr>
        <w:t>主要</w:t>
      </w:r>
      <w:r>
        <w:t>内容</w:t>
      </w:r>
      <w:r>
        <w:rPr>
          <w:rFonts w:hint="eastAsia"/>
        </w:rPr>
        <w:t>包括日常</w:t>
      </w:r>
      <w:r>
        <w:t>巡视检查</w:t>
      </w:r>
      <w:r>
        <w:rPr>
          <w:rFonts w:hint="eastAsia"/>
        </w:rPr>
        <w:t>、</w:t>
      </w:r>
      <w:r>
        <w:t>有计划停电清扫为主的保养检查（若发现导电连接处有异常迹象时，应</w:t>
      </w:r>
      <w:r>
        <w:rPr>
          <w:rFonts w:hint="eastAsia"/>
        </w:rPr>
        <w:t>立即</w:t>
      </w:r>
      <w:r>
        <w:t>进行紧固程度的检查与操作）以及定期的维护检查</w:t>
      </w:r>
      <w:r>
        <w:rPr>
          <w:rFonts w:hint="eastAsia"/>
        </w:rPr>
        <w:t>3种检查类型</w:t>
      </w:r>
      <w:r>
        <w:t>。</w:t>
      </w:r>
    </w:p>
    <w:p>
      <w:pPr>
        <w:pStyle w:val="216"/>
      </w:pPr>
      <w:r>
        <w:rPr>
          <w:rFonts w:hint="eastAsia"/>
        </w:rPr>
        <w:t>电气系统</w:t>
      </w:r>
      <w:r>
        <w:t>综合检查应包括对电气系统的功能类、安全类、环保类、能效类四类内容的检查。</w:t>
      </w:r>
      <w:r>
        <w:rPr>
          <w:rFonts w:hint="eastAsia"/>
        </w:rPr>
        <w:t>综合检查主要项目内容按表F.1进行。</w:t>
      </w:r>
    </w:p>
    <w:p>
      <w:pPr>
        <w:pStyle w:val="81"/>
        <w:spacing w:before="156" w:after="156"/>
      </w:pPr>
      <w:r>
        <w:rPr>
          <w:rFonts w:hint="eastAsia" w:hAnsi="黑体" w:cs="黑体"/>
        </w:rPr>
        <w:t>电气系统综合检查项目内容一览表</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808"/>
        <w:gridCol w:w="1500"/>
        <w:gridCol w:w="724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808" w:type="dxa"/>
            <w:tcBorders>
              <w:bottom w:val="single" w:color="auto" w:sz="8" w:space="0"/>
            </w:tcBorders>
            <w:vAlign w:val="center"/>
          </w:tcPr>
          <w:p>
            <w:pPr>
              <w:pStyle w:val="182"/>
              <w:rPr>
                <w:rFonts w:hAnsi="宋体" w:cs="宋体"/>
                <w:sz w:val="21"/>
                <w:szCs w:val="21"/>
              </w:rPr>
            </w:pPr>
            <w:r>
              <w:rPr>
                <w:rFonts w:hint="eastAsia" w:hAnsi="宋体" w:cs="宋体"/>
                <w:sz w:val="21"/>
                <w:szCs w:val="21"/>
              </w:rPr>
              <w:t>序号</w:t>
            </w:r>
          </w:p>
        </w:tc>
        <w:tc>
          <w:tcPr>
            <w:tcW w:w="1500" w:type="dxa"/>
            <w:tcBorders>
              <w:bottom w:val="single" w:color="auto" w:sz="8" w:space="0"/>
            </w:tcBorders>
            <w:vAlign w:val="center"/>
          </w:tcPr>
          <w:p>
            <w:pPr>
              <w:pStyle w:val="182"/>
              <w:rPr>
                <w:rFonts w:hAnsi="宋体" w:cs="宋体"/>
                <w:sz w:val="21"/>
                <w:szCs w:val="21"/>
              </w:rPr>
            </w:pPr>
            <w:r>
              <w:rPr>
                <w:rFonts w:hint="eastAsia" w:hAnsi="宋体" w:cs="宋体"/>
                <w:sz w:val="21"/>
                <w:szCs w:val="21"/>
              </w:rPr>
              <w:t>检查类别</w:t>
            </w:r>
          </w:p>
        </w:tc>
        <w:tc>
          <w:tcPr>
            <w:tcW w:w="7246" w:type="dxa"/>
            <w:tcBorders>
              <w:bottom w:val="single" w:color="auto" w:sz="8" w:space="0"/>
            </w:tcBorders>
            <w:vAlign w:val="center"/>
          </w:tcPr>
          <w:p>
            <w:pPr>
              <w:pStyle w:val="182"/>
              <w:rPr>
                <w:rFonts w:hAnsi="宋体" w:cs="宋体"/>
                <w:sz w:val="21"/>
                <w:szCs w:val="21"/>
              </w:rPr>
            </w:pPr>
            <w:r>
              <w:rPr>
                <w:rFonts w:hint="eastAsia" w:hAnsi="宋体" w:cs="宋体"/>
                <w:sz w:val="21"/>
                <w:szCs w:val="21"/>
              </w:rPr>
              <w:t>检查内容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08" w:type="dxa"/>
            <w:tcBorders>
              <w:top w:val="single" w:color="auto" w:sz="8" w:space="0"/>
            </w:tcBorders>
            <w:vAlign w:val="center"/>
          </w:tcPr>
          <w:p>
            <w:pPr>
              <w:pStyle w:val="182"/>
              <w:rPr>
                <w:rFonts w:hAnsi="宋体" w:cs="宋体"/>
                <w:sz w:val="21"/>
                <w:szCs w:val="21"/>
              </w:rPr>
            </w:pPr>
            <w:r>
              <w:rPr>
                <w:rFonts w:hint="eastAsia" w:hAnsi="宋体" w:cs="宋体"/>
                <w:sz w:val="21"/>
                <w:szCs w:val="21"/>
              </w:rPr>
              <w:t>1</w:t>
            </w:r>
          </w:p>
        </w:tc>
        <w:tc>
          <w:tcPr>
            <w:tcW w:w="1500" w:type="dxa"/>
            <w:tcBorders>
              <w:top w:val="single" w:color="auto" w:sz="8" w:space="0"/>
            </w:tcBorders>
            <w:vAlign w:val="center"/>
          </w:tcPr>
          <w:p>
            <w:pPr>
              <w:pStyle w:val="182"/>
              <w:rPr>
                <w:rFonts w:hAnsi="宋体" w:cs="宋体"/>
                <w:sz w:val="21"/>
                <w:szCs w:val="21"/>
              </w:rPr>
            </w:pPr>
            <w:r>
              <w:rPr>
                <w:rFonts w:hint="eastAsia" w:hAnsi="宋体" w:cs="宋体"/>
                <w:sz w:val="21"/>
                <w:szCs w:val="21"/>
              </w:rPr>
              <w:t>功能类检查</w:t>
            </w:r>
          </w:p>
        </w:tc>
        <w:tc>
          <w:tcPr>
            <w:tcW w:w="7246" w:type="dxa"/>
            <w:tcBorders>
              <w:top w:val="single" w:color="auto" w:sz="8" w:space="0"/>
            </w:tcBorders>
            <w:vAlign w:val="center"/>
          </w:tcPr>
          <w:p>
            <w:pPr>
              <w:pStyle w:val="182"/>
              <w:jc w:val="left"/>
              <w:rPr>
                <w:rFonts w:hAnsi="宋体" w:cs="宋体"/>
                <w:sz w:val="21"/>
                <w:szCs w:val="21"/>
              </w:rPr>
            </w:pPr>
            <w:r>
              <w:rPr>
                <w:rFonts w:hint="eastAsia" w:hAnsi="宋体" w:cs="宋体"/>
                <w:sz w:val="21"/>
                <w:szCs w:val="21"/>
              </w:rPr>
              <w:t>变配电设备负荷状况、供电干线负荷状况、动力用电设备负荷状况、照明设备负荷状况、配电柜（箱）控制元器件完好性、配电柜（箱）用电回路模拟动作可靠性、照度测试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08" w:type="dxa"/>
            <w:vAlign w:val="center"/>
          </w:tcPr>
          <w:p>
            <w:pPr>
              <w:pStyle w:val="182"/>
              <w:rPr>
                <w:rFonts w:hAnsi="宋体" w:cs="宋体"/>
                <w:sz w:val="21"/>
                <w:szCs w:val="21"/>
              </w:rPr>
            </w:pPr>
            <w:r>
              <w:rPr>
                <w:rFonts w:hint="eastAsia" w:hAnsi="宋体" w:cs="宋体"/>
                <w:sz w:val="21"/>
                <w:szCs w:val="21"/>
              </w:rPr>
              <w:t>2</w:t>
            </w:r>
          </w:p>
        </w:tc>
        <w:tc>
          <w:tcPr>
            <w:tcW w:w="1500" w:type="dxa"/>
            <w:vAlign w:val="center"/>
          </w:tcPr>
          <w:p>
            <w:pPr>
              <w:pStyle w:val="182"/>
              <w:rPr>
                <w:rFonts w:hAnsi="宋体" w:cs="宋体"/>
                <w:sz w:val="21"/>
                <w:szCs w:val="21"/>
              </w:rPr>
            </w:pPr>
            <w:r>
              <w:rPr>
                <w:rFonts w:hint="eastAsia" w:hAnsi="宋体" w:cs="宋体"/>
                <w:sz w:val="21"/>
                <w:szCs w:val="21"/>
              </w:rPr>
              <w:t>安全类检查</w:t>
            </w:r>
          </w:p>
        </w:tc>
        <w:tc>
          <w:tcPr>
            <w:tcW w:w="7246" w:type="dxa"/>
            <w:vAlign w:val="center"/>
          </w:tcPr>
          <w:p>
            <w:pPr>
              <w:pStyle w:val="182"/>
              <w:jc w:val="left"/>
              <w:rPr>
                <w:rFonts w:hAnsi="宋体" w:cs="宋体"/>
                <w:sz w:val="21"/>
                <w:szCs w:val="21"/>
              </w:rPr>
            </w:pPr>
            <w:r>
              <w:rPr>
                <w:rFonts w:hint="eastAsia" w:hAnsi="宋体" w:cs="宋体"/>
                <w:sz w:val="21"/>
                <w:szCs w:val="21"/>
              </w:rPr>
              <w:t>油浸变压器油检查及变压器壳体检查、发电机组运行状况、备用不间断电源空载试运行检测、漏电保护装置动作能力检测、母线及导线连接固定可靠性、照明器具完好性、变配电设备预防性试验、线路绝缘电阻测量、电气装置接地电阻测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808" w:type="dxa"/>
            <w:vAlign w:val="center"/>
          </w:tcPr>
          <w:p>
            <w:pPr>
              <w:pStyle w:val="182"/>
              <w:rPr>
                <w:rFonts w:hAnsi="宋体" w:cs="宋体"/>
                <w:sz w:val="21"/>
                <w:szCs w:val="21"/>
              </w:rPr>
            </w:pPr>
            <w:r>
              <w:rPr>
                <w:rFonts w:hint="eastAsia" w:hAnsi="宋体" w:cs="宋体"/>
                <w:sz w:val="21"/>
                <w:szCs w:val="21"/>
              </w:rPr>
              <w:t>3</w:t>
            </w:r>
          </w:p>
        </w:tc>
        <w:tc>
          <w:tcPr>
            <w:tcW w:w="1500" w:type="dxa"/>
            <w:vAlign w:val="center"/>
          </w:tcPr>
          <w:p>
            <w:pPr>
              <w:pStyle w:val="182"/>
              <w:rPr>
                <w:rFonts w:hAnsi="宋体" w:cs="宋体"/>
                <w:sz w:val="21"/>
                <w:szCs w:val="21"/>
              </w:rPr>
            </w:pPr>
            <w:r>
              <w:rPr>
                <w:rFonts w:hint="eastAsia" w:hAnsi="宋体" w:cs="宋体"/>
                <w:sz w:val="21"/>
                <w:szCs w:val="21"/>
              </w:rPr>
              <w:t>环保类检查</w:t>
            </w:r>
          </w:p>
        </w:tc>
        <w:tc>
          <w:tcPr>
            <w:tcW w:w="7246" w:type="dxa"/>
            <w:vAlign w:val="center"/>
          </w:tcPr>
          <w:p>
            <w:pPr>
              <w:pStyle w:val="182"/>
              <w:jc w:val="left"/>
              <w:rPr>
                <w:rFonts w:hAnsi="宋体" w:cs="宋体"/>
                <w:sz w:val="21"/>
                <w:szCs w:val="21"/>
              </w:rPr>
            </w:pPr>
            <w:r>
              <w:rPr>
                <w:rFonts w:hint="eastAsia" w:hAnsi="宋体" w:cs="宋体"/>
                <w:sz w:val="21"/>
                <w:szCs w:val="21"/>
              </w:rPr>
              <w:t>变压器噪声和温升测量、强制通风系统运行有效性、配线系统防腐、电气设备防腐、防雷及接地装置防腐、备用和不间断电源噪声和气体污染</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808" w:type="dxa"/>
            <w:vAlign w:val="center"/>
          </w:tcPr>
          <w:p>
            <w:pPr>
              <w:pStyle w:val="182"/>
              <w:rPr>
                <w:rFonts w:hAnsi="宋体" w:cs="宋体"/>
                <w:sz w:val="21"/>
                <w:szCs w:val="21"/>
              </w:rPr>
            </w:pPr>
            <w:r>
              <w:rPr>
                <w:rFonts w:hint="eastAsia" w:hAnsi="宋体" w:cs="宋体"/>
                <w:sz w:val="21"/>
                <w:szCs w:val="21"/>
              </w:rPr>
              <w:t>4</w:t>
            </w:r>
          </w:p>
        </w:tc>
        <w:tc>
          <w:tcPr>
            <w:tcW w:w="1500" w:type="dxa"/>
            <w:vAlign w:val="center"/>
          </w:tcPr>
          <w:p>
            <w:pPr>
              <w:pStyle w:val="182"/>
              <w:rPr>
                <w:rFonts w:hAnsi="宋体" w:cs="宋体"/>
                <w:sz w:val="21"/>
                <w:szCs w:val="21"/>
              </w:rPr>
            </w:pPr>
            <w:r>
              <w:rPr>
                <w:rFonts w:hint="eastAsia" w:hAnsi="宋体" w:cs="宋体"/>
                <w:sz w:val="21"/>
                <w:szCs w:val="21"/>
              </w:rPr>
              <w:t>能效类检查</w:t>
            </w:r>
          </w:p>
        </w:tc>
        <w:tc>
          <w:tcPr>
            <w:tcW w:w="7246" w:type="dxa"/>
            <w:vAlign w:val="center"/>
          </w:tcPr>
          <w:p>
            <w:pPr>
              <w:pStyle w:val="182"/>
              <w:jc w:val="both"/>
              <w:rPr>
                <w:rFonts w:hAnsi="宋体" w:cs="宋体"/>
                <w:sz w:val="21"/>
                <w:szCs w:val="21"/>
              </w:rPr>
            </w:pPr>
            <w:r>
              <w:rPr>
                <w:rFonts w:hint="eastAsia" w:hAnsi="宋体" w:cs="宋体"/>
                <w:sz w:val="21"/>
                <w:szCs w:val="21"/>
              </w:rPr>
              <w:t>低压配电电源质量、照明光源与线路的匹配、照明功率密度值效验</w:t>
            </w:r>
          </w:p>
        </w:tc>
      </w:tr>
    </w:tbl>
    <w:p>
      <w:pPr>
        <w:pStyle w:val="216"/>
      </w:pPr>
      <w:r>
        <w:rPr>
          <w:rFonts w:hint="eastAsia"/>
        </w:rPr>
        <w:t>电气系统检查评定分级A、B、C三级。检查时，按楼层或分区单元作为一个检查点，检查评定分级按表F.2进行：</w:t>
      </w:r>
    </w:p>
    <w:p>
      <w:pPr>
        <w:pStyle w:val="81"/>
        <w:spacing w:before="156" w:after="156"/>
      </w:pPr>
      <w:r>
        <w:rPr>
          <w:rFonts w:hint="eastAsia" w:hAnsi="黑体" w:cs="黑体"/>
        </w:rPr>
        <w:t>办公用房电气系统综合检查评定表</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708"/>
        <w:gridCol w:w="1007"/>
        <w:gridCol w:w="2850"/>
        <w:gridCol w:w="2600"/>
        <w:gridCol w:w="238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708" w:type="dxa"/>
            <w:tcBorders>
              <w:bottom w:val="single" w:color="auto" w:sz="8" w:space="0"/>
            </w:tcBorders>
            <w:vAlign w:val="center"/>
          </w:tcPr>
          <w:p>
            <w:pPr>
              <w:pStyle w:val="182"/>
            </w:pPr>
            <w:r>
              <w:rPr>
                <w:rFonts w:hint="eastAsia"/>
              </w:rPr>
              <w:t>序号</w:t>
            </w:r>
          </w:p>
        </w:tc>
        <w:tc>
          <w:tcPr>
            <w:tcW w:w="1007" w:type="dxa"/>
            <w:tcBorders>
              <w:bottom w:val="single" w:color="auto" w:sz="8" w:space="0"/>
            </w:tcBorders>
            <w:vAlign w:val="center"/>
          </w:tcPr>
          <w:p>
            <w:pPr>
              <w:pStyle w:val="182"/>
            </w:pPr>
            <w:r>
              <w:rPr>
                <w:rFonts w:hint="eastAsia"/>
              </w:rPr>
              <w:t>检查维度</w:t>
            </w:r>
          </w:p>
        </w:tc>
        <w:tc>
          <w:tcPr>
            <w:tcW w:w="2850" w:type="dxa"/>
            <w:tcBorders>
              <w:bottom w:val="single" w:color="auto" w:sz="8" w:space="0"/>
            </w:tcBorders>
            <w:vAlign w:val="center"/>
          </w:tcPr>
          <w:p>
            <w:pPr>
              <w:pStyle w:val="182"/>
            </w:pPr>
            <w:r>
              <w:rPr>
                <w:rFonts w:hint="eastAsia"/>
              </w:rPr>
              <w:t>A级</w:t>
            </w:r>
          </w:p>
        </w:tc>
        <w:tc>
          <w:tcPr>
            <w:tcW w:w="2600" w:type="dxa"/>
            <w:tcBorders>
              <w:bottom w:val="single" w:color="auto" w:sz="8" w:space="0"/>
            </w:tcBorders>
            <w:vAlign w:val="center"/>
          </w:tcPr>
          <w:p>
            <w:pPr>
              <w:pStyle w:val="182"/>
            </w:pPr>
            <w:r>
              <w:rPr>
                <w:rFonts w:hint="eastAsia"/>
              </w:rPr>
              <w:t>B级</w:t>
            </w:r>
          </w:p>
        </w:tc>
        <w:tc>
          <w:tcPr>
            <w:tcW w:w="2389" w:type="dxa"/>
            <w:tcBorders>
              <w:bottom w:val="single" w:color="auto" w:sz="8" w:space="0"/>
            </w:tcBorders>
            <w:vAlign w:val="center"/>
          </w:tcPr>
          <w:p>
            <w:pPr>
              <w:pStyle w:val="182"/>
            </w:pPr>
            <w:r>
              <w:rPr>
                <w:rFonts w:hint="eastAsia"/>
              </w:rPr>
              <w:t>C级</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08" w:type="dxa"/>
            <w:tcBorders>
              <w:top w:val="single" w:color="auto" w:sz="8" w:space="0"/>
            </w:tcBorders>
            <w:vAlign w:val="center"/>
          </w:tcPr>
          <w:p>
            <w:pPr>
              <w:pStyle w:val="182"/>
            </w:pPr>
            <w:r>
              <w:rPr>
                <w:rFonts w:hint="eastAsia"/>
              </w:rPr>
              <w:t>1</w:t>
            </w:r>
          </w:p>
        </w:tc>
        <w:tc>
          <w:tcPr>
            <w:tcW w:w="1007" w:type="dxa"/>
            <w:tcBorders>
              <w:top w:val="single" w:color="auto" w:sz="8" w:space="0"/>
            </w:tcBorders>
            <w:vAlign w:val="center"/>
          </w:tcPr>
          <w:p>
            <w:pPr>
              <w:pStyle w:val="182"/>
            </w:pPr>
            <w:r>
              <w:rPr>
                <w:rFonts w:hint="eastAsia"/>
              </w:rPr>
              <w:t>工作性能</w:t>
            </w:r>
          </w:p>
        </w:tc>
        <w:tc>
          <w:tcPr>
            <w:tcW w:w="2850" w:type="dxa"/>
            <w:tcBorders>
              <w:top w:val="single" w:color="auto" w:sz="8" w:space="0"/>
            </w:tcBorders>
            <w:vAlign w:val="center"/>
          </w:tcPr>
          <w:p>
            <w:pPr>
              <w:pStyle w:val="182"/>
              <w:jc w:val="left"/>
            </w:pPr>
            <w:r>
              <w:rPr>
                <w:rFonts w:hint="eastAsia" w:ascii="Times New Roman"/>
              </w:rPr>
              <w:t>正常或略有下降，具有正常使用功能或尚能使用，或通过局部采取措施能够正常使用。</w:t>
            </w:r>
          </w:p>
        </w:tc>
        <w:tc>
          <w:tcPr>
            <w:tcW w:w="2600" w:type="dxa"/>
            <w:tcBorders>
              <w:top w:val="single" w:color="auto" w:sz="8" w:space="0"/>
            </w:tcBorders>
            <w:vAlign w:val="center"/>
          </w:tcPr>
          <w:p>
            <w:pPr>
              <w:pStyle w:val="182"/>
              <w:jc w:val="left"/>
            </w:pPr>
            <w:r>
              <w:rPr>
                <w:rFonts w:hint="eastAsia" w:ascii="Times New Roman"/>
              </w:rPr>
              <w:t>下降，影响正常使用功能，或通过局部采取措施仅能基本正常使用。</w:t>
            </w:r>
          </w:p>
        </w:tc>
        <w:tc>
          <w:tcPr>
            <w:tcW w:w="2389" w:type="dxa"/>
            <w:tcBorders>
              <w:top w:val="single" w:color="auto" w:sz="8" w:space="0"/>
            </w:tcBorders>
            <w:vAlign w:val="center"/>
          </w:tcPr>
          <w:p>
            <w:pPr>
              <w:pStyle w:val="182"/>
              <w:jc w:val="left"/>
            </w:pPr>
            <w:r>
              <w:rPr>
                <w:rFonts w:hint="eastAsia" w:ascii="Times New Roman"/>
              </w:rPr>
              <w:t>显著或严重下降，影响正常使用，或通过局部采取措施仍无法正常使用。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08" w:type="dxa"/>
            <w:vAlign w:val="center"/>
          </w:tcPr>
          <w:p>
            <w:pPr>
              <w:pStyle w:val="182"/>
            </w:pPr>
            <w:r>
              <w:rPr>
                <w:rFonts w:hint="eastAsia"/>
              </w:rPr>
              <w:t>2</w:t>
            </w:r>
          </w:p>
        </w:tc>
        <w:tc>
          <w:tcPr>
            <w:tcW w:w="1007" w:type="dxa"/>
            <w:vAlign w:val="center"/>
          </w:tcPr>
          <w:p>
            <w:pPr>
              <w:pStyle w:val="182"/>
            </w:pPr>
            <w:r>
              <w:rPr>
                <w:rFonts w:hint="eastAsia"/>
              </w:rPr>
              <w:t>安全性能</w:t>
            </w:r>
          </w:p>
        </w:tc>
        <w:tc>
          <w:tcPr>
            <w:tcW w:w="2850" w:type="dxa"/>
            <w:vAlign w:val="center"/>
          </w:tcPr>
          <w:p>
            <w:pPr>
              <w:pStyle w:val="182"/>
              <w:jc w:val="left"/>
            </w:pPr>
            <w:r>
              <w:rPr>
                <w:rFonts w:hint="eastAsia" w:ascii="Times New Roman"/>
              </w:rPr>
              <w:t>符合标准要求，可继续正常使用，或通过采取简单补救或加强措施，其安全性指标能够达到标准要求。</w:t>
            </w:r>
          </w:p>
        </w:tc>
        <w:tc>
          <w:tcPr>
            <w:tcW w:w="2600" w:type="dxa"/>
            <w:vAlign w:val="center"/>
          </w:tcPr>
          <w:p>
            <w:pPr>
              <w:pStyle w:val="182"/>
              <w:jc w:val="left"/>
            </w:pPr>
            <w:r>
              <w:rPr>
                <w:rFonts w:hint="eastAsia" w:ascii="Times New Roman"/>
              </w:rPr>
              <w:t>有下降趋势或不符合标准要求，或通过采取局部补救和加强措施，其安全性能指标无法全部达到标准要求。</w:t>
            </w:r>
          </w:p>
        </w:tc>
        <w:tc>
          <w:tcPr>
            <w:tcW w:w="2389" w:type="dxa"/>
            <w:vAlign w:val="center"/>
          </w:tcPr>
          <w:p>
            <w:pPr>
              <w:pStyle w:val="182"/>
              <w:jc w:val="left"/>
            </w:pPr>
            <w:r>
              <w:rPr>
                <w:rFonts w:hint="eastAsia" w:ascii="Times New Roman"/>
              </w:rPr>
              <w:t>有严重下降趋势或不符合标准要求，或通过采取补救和加强措施，其安全性能指标仍无法达到标准要求。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8" w:type="dxa"/>
            <w:vAlign w:val="center"/>
          </w:tcPr>
          <w:p>
            <w:pPr>
              <w:pStyle w:val="182"/>
            </w:pPr>
            <w:r>
              <w:rPr>
                <w:rFonts w:hint="eastAsia"/>
              </w:rPr>
              <w:t>3</w:t>
            </w:r>
          </w:p>
        </w:tc>
        <w:tc>
          <w:tcPr>
            <w:tcW w:w="1007" w:type="dxa"/>
            <w:vAlign w:val="center"/>
          </w:tcPr>
          <w:p>
            <w:pPr>
              <w:pStyle w:val="182"/>
            </w:pPr>
            <w:r>
              <w:rPr>
                <w:rFonts w:hint="eastAsia"/>
              </w:rPr>
              <w:t>能效水平</w:t>
            </w:r>
          </w:p>
        </w:tc>
        <w:tc>
          <w:tcPr>
            <w:tcW w:w="2850" w:type="dxa"/>
            <w:vAlign w:val="center"/>
          </w:tcPr>
          <w:p>
            <w:pPr>
              <w:pStyle w:val="182"/>
              <w:jc w:val="left"/>
            </w:pPr>
            <w:r>
              <w:rPr>
                <w:rFonts w:hint="eastAsia" w:ascii="Times New Roman"/>
              </w:rPr>
              <w:t>耗电量正常或浪费不严重，或通过适当调整用电负荷即可使耗电量达到正常。</w:t>
            </w:r>
          </w:p>
        </w:tc>
        <w:tc>
          <w:tcPr>
            <w:tcW w:w="2600" w:type="dxa"/>
            <w:vAlign w:val="center"/>
          </w:tcPr>
          <w:p>
            <w:pPr>
              <w:pStyle w:val="182"/>
              <w:jc w:val="left"/>
            </w:pPr>
            <w:r>
              <w:rPr>
                <w:rFonts w:hint="eastAsia" w:ascii="Times New Roman"/>
              </w:rPr>
              <w:t>耗电量浪费严重或三相负荷很不平衡，或通过调整用电负荷或加强日常维修，耗电量方能达到正常</w:t>
            </w:r>
          </w:p>
        </w:tc>
        <w:tc>
          <w:tcPr>
            <w:tcW w:w="2389" w:type="dxa"/>
            <w:vAlign w:val="center"/>
          </w:tcPr>
          <w:p>
            <w:pPr>
              <w:pStyle w:val="182"/>
              <w:jc w:val="left"/>
            </w:pPr>
            <w:r>
              <w:rPr>
                <w:rFonts w:hint="eastAsia" w:ascii="Times New Roman"/>
              </w:rPr>
              <w:t>耗电量浪费非常严重或三相负荷严重不平衡，或通过调整用电负荷或加强日常维修，耗电量仍无法达到正常。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08" w:type="dxa"/>
            <w:vAlign w:val="center"/>
          </w:tcPr>
          <w:p>
            <w:pPr>
              <w:pStyle w:val="182"/>
            </w:pPr>
            <w:r>
              <w:rPr>
                <w:rFonts w:hint="eastAsia"/>
              </w:rPr>
              <w:t>4</w:t>
            </w:r>
          </w:p>
        </w:tc>
        <w:tc>
          <w:tcPr>
            <w:tcW w:w="1007" w:type="dxa"/>
            <w:vAlign w:val="center"/>
          </w:tcPr>
          <w:p>
            <w:pPr>
              <w:pStyle w:val="182"/>
            </w:pPr>
            <w:r>
              <w:rPr>
                <w:rFonts w:hint="eastAsia"/>
              </w:rPr>
              <w:t>环保性能</w:t>
            </w:r>
          </w:p>
        </w:tc>
        <w:tc>
          <w:tcPr>
            <w:tcW w:w="2850" w:type="dxa"/>
            <w:vAlign w:val="center"/>
          </w:tcPr>
          <w:p>
            <w:pPr>
              <w:pStyle w:val="182"/>
            </w:pPr>
            <w:r>
              <w:rPr>
                <w:rFonts w:hint="eastAsia"/>
              </w:rPr>
              <w:t>/</w:t>
            </w:r>
          </w:p>
        </w:tc>
        <w:tc>
          <w:tcPr>
            <w:tcW w:w="2600" w:type="dxa"/>
            <w:vAlign w:val="center"/>
          </w:tcPr>
          <w:p>
            <w:pPr>
              <w:pStyle w:val="182"/>
              <w:jc w:val="left"/>
            </w:pPr>
            <w:r>
              <w:rPr>
                <w:rFonts w:hint="eastAsia" w:ascii="Times New Roman"/>
              </w:rPr>
              <w:t>基本不符合环保标准要求，或通过局部采取措施，其指标仍较难达到标准要求。</w:t>
            </w:r>
          </w:p>
        </w:tc>
        <w:tc>
          <w:tcPr>
            <w:tcW w:w="2389" w:type="dxa"/>
            <w:vAlign w:val="center"/>
          </w:tcPr>
          <w:p>
            <w:pPr>
              <w:pStyle w:val="182"/>
              <w:jc w:val="left"/>
            </w:pPr>
            <w:r>
              <w:rPr>
                <w:rFonts w:hint="eastAsia" w:ascii="Times New Roman"/>
              </w:rPr>
              <w:t>不符合环保标准要求，或通过局部采取措施，其指标仍无法达到标准要求。</w:t>
            </w:r>
          </w:p>
        </w:tc>
      </w:tr>
    </w:tbl>
    <w:p>
      <w:pPr>
        <w:pStyle w:val="82"/>
        <w:spacing w:before="156" w:after="156"/>
      </w:pPr>
      <w:bookmarkStart w:id="449" w:name="_Toc32135"/>
      <w:bookmarkStart w:id="450" w:name="_Toc19487"/>
      <w:bookmarkStart w:id="451" w:name="_Toc241609831"/>
      <w:bookmarkStart w:id="452" w:name="_Toc2824"/>
      <w:bookmarkStart w:id="453" w:name="_Toc241610347"/>
      <w:r>
        <w:rPr>
          <w:rFonts w:hint="eastAsia"/>
        </w:rPr>
        <w:t>电气系统维修原则</w:t>
      </w:r>
      <w:bookmarkEnd w:id="449"/>
      <w:bookmarkEnd w:id="450"/>
      <w:bookmarkEnd w:id="451"/>
      <w:bookmarkEnd w:id="452"/>
      <w:bookmarkEnd w:id="453"/>
      <w:r>
        <w:rPr>
          <w:rFonts w:hint="eastAsia"/>
        </w:rPr>
        <w:t xml:space="preserve">  </w:t>
      </w:r>
    </w:p>
    <w:p>
      <w:pPr>
        <w:pStyle w:val="216"/>
      </w:pPr>
      <w:r>
        <w:t>当</w:t>
      </w:r>
      <w:r>
        <w:rPr>
          <w:rFonts w:hint="eastAsia"/>
        </w:rPr>
        <w:t>综合检查</w:t>
      </w:r>
      <w:r>
        <w:t>评定结果出现下列情况之一时，应对重要设备或重要部位</w:t>
      </w:r>
      <w:r>
        <w:rPr>
          <w:rFonts w:hint="eastAsia"/>
        </w:rPr>
        <w:t>或者</w:t>
      </w:r>
      <w:r>
        <w:t>全系统进行</w:t>
      </w:r>
      <w:r>
        <w:rPr>
          <w:rFonts w:hint="eastAsia"/>
        </w:rPr>
        <w:t>大中小修</w:t>
      </w:r>
      <w:r>
        <w:t>：</w:t>
      </w:r>
    </w:p>
    <w:p>
      <w:pPr>
        <w:pStyle w:val="178"/>
        <w:numPr>
          <w:ilvl w:val="0"/>
          <w:numId w:val="93"/>
        </w:numPr>
      </w:pPr>
      <w:r>
        <w:rPr>
          <w:rFonts w:hint="eastAsia"/>
        </w:rPr>
        <w:t>系统运行时间超过正常使用年限，电气设备运转不可靠；</w:t>
      </w:r>
    </w:p>
    <w:p>
      <w:pPr>
        <w:pStyle w:val="178"/>
        <w:numPr>
          <w:ilvl w:val="0"/>
          <w:numId w:val="93"/>
        </w:numPr>
      </w:pPr>
      <w:r>
        <w:rPr>
          <w:rFonts w:hint="eastAsia"/>
        </w:rPr>
        <w:t>不能满足使用功能，用电负荷严重超载，或使用中出现严重问题；</w:t>
      </w:r>
    </w:p>
    <w:p>
      <w:pPr>
        <w:pStyle w:val="178"/>
        <w:numPr>
          <w:ilvl w:val="0"/>
          <w:numId w:val="93"/>
        </w:numPr>
      </w:pPr>
      <w:r>
        <w:rPr>
          <w:rFonts w:hint="eastAsia"/>
        </w:rPr>
        <w:t>系统安全标准严重低于现行电气安全标准，存在较严重安全隐患；</w:t>
      </w:r>
    </w:p>
    <w:p>
      <w:pPr>
        <w:pStyle w:val="178"/>
        <w:numPr>
          <w:ilvl w:val="0"/>
          <w:numId w:val="93"/>
        </w:numPr>
      </w:pPr>
      <w:r>
        <w:rPr>
          <w:rFonts w:hint="eastAsia"/>
        </w:rPr>
        <w:t>家强制执行或提倡的节能减排的工程，或者有节能改造需求时；</w:t>
      </w:r>
    </w:p>
    <w:p>
      <w:pPr>
        <w:pStyle w:val="178"/>
        <w:numPr>
          <w:ilvl w:val="0"/>
          <w:numId w:val="93"/>
        </w:numPr>
      </w:pPr>
      <w:r>
        <w:rPr>
          <w:rFonts w:hint="eastAsia"/>
        </w:rPr>
        <w:t>评定结果为Ｃ级的检查点达到30%以上，且Ａ级的检查点未超过20%的；</w:t>
      </w:r>
    </w:p>
    <w:p>
      <w:pPr>
        <w:pStyle w:val="178"/>
        <w:numPr>
          <w:ilvl w:val="0"/>
          <w:numId w:val="93"/>
        </w:numPr>
      </w:pPr>
      <w:r>
        <w:rPr>
          <w:rFonts w:hint="eastAsia"/>
        </w:rPr>
        <w:t>预计进行日常维修后，仍无评定结果能达到Ａ级的检查点，且经维修后所有检查点评定结果均为Ｂ级以上，且80%以上检查点评定结果为Ａ级时；</w:t>
      </w:r>
    </w:p>
    <w:p>
      <w:pPr>
        <w:pStyle w:val="178"/>
        <w:numPr>
          <w:ilvl w:val="0"/>
          <w:numId w:val="93"/>
        </w:numPr>
      </w:pPr>
      <w:r>
        <w:rPr>
          <w:rFonts w:hint="eastAsia"/>
        </w:rPr>
        <w:t>其他应当进行维修但日常维修无法实施的情况。</w:t>
      </w:r>
    </w:p>
    <w:p>
      <w:pPr>
        <w:pStyle w:val="216"/>
      </w:pPr>
      <w:r>
        <w:rPr>
          <w:rFonts w:hint="eastAsia"/>
        </w:rPr>
        <w:t>评定结果未达到以上情况时，应由使用单位进行日常维修。</w:t>
      </w:r>
    </w:p>
    <w:p>
      <w:pPr>
        <w:pStyle w:val="216"/>
      </w:pPr>
      <w:r>
        <w:rPr>
          <w:rFonts w:hint="eastAsia"/>
        </w:rPr>
        <w:t>电气</w:t>
      </w:r>
      <w:r>
        <w:t>系统经检查评定后需进行</w:t>
      </w:r>
      <w:r>
        <w:rPr>
          <w:rFonts w:hint="eastAsia"/>
        </w:rPr>
        <w:t>大中小修</w:t>
      </w:r>
      <w:r>
        <w:t>，</w:t>
      </w:r>
      <w:r>
        <w:rPr>
          <w:rFonts w:hint="eastAsia"/>
        </w:rPr>
        <w:t>应由具有专业设计资质的单位制定维修</w:t>
      </w:r>
      <w:r>
        <w:t>方案</w:t>
      </w:r>
      <w:r>
        <w:rPr>
          <w:rFonts w:hint="eastAsia"/>
        </w:rPr>
        <w:t>，维修</w:t>
      </w:r>
      <w:r>
        <w:t>方案应包括以下内容：</w:t>
      </w:r>
    </w:p>
    <w:p>
      <w:pPr>
        <w:pStyle w:val="178"/>
        <w:numPr>
          <w:ilvl w:val="0"/>
          <w:numId w:val="94"/>
        </w:numPr>
      </w:pPr>
      <w:r>
        <w:rPr>
          <w:rFonts w:hint="eastAsia"/>
        </w:rPr>
        <w:t>建筑基本概况，包括项目概括、系统投入使用时间等；</w:t>
      </w:r>
    </w:p>
    <w:p>
      <w:pPr>
        <w:pStyle w:val="178"/>
        <w:numPr>
          <w:ilvl w:val="0"/>
          <w:numId w:val="94"/>
        </w:numPr>
      </w:pPr>
      <w:r>
        <w:rPr>
          <w:rFonts w:hint="eastAsia"/>
        </w:rPr>
        <w:t>电气系统维修前现状，包括市电引入电压等级、容量，电气设备的参数、数量、运行现状，电气器具、电线电缆、管材等使用状况，接地系统的现状等；</w:t>
      </w:r>
    </w:p>
    <w:p>
      <w:pPr>
        <w:pStyle w:val="178"/>
        <w:numPr>
          <w:ilvl w:val="0"/>
          <w:numId w:val="94"/>
        </w:numPr>
      </w:pPr>
      <w:r>
        <w:rPr>
          <w:rFonts w:hint="eastAsia"/>
        </w:rPr>
        <w:t>电气系统的检查与评定结果，包括检查内容和检查结果；</w:t>
      </w:r>
    </w:p>
    <w:p>
      <w:pPr>
        <w:pStyle w:val="178"/>
        <w:numPr>
          <w:ilvl w:val="0"/>
          <w:numId w:val="94"/>
        </w:numPr>
      </w:pPr>
      <w:r>
        <w:rPr>
          <w:rFonts w:hint="eastAsia"/>
        </w:rPr>
        <w:t>电气系统大中小修的可行性方案；</w:t>
      </w:r>
    </w:p>
    <w:p>
      <w:pPr>
        <w:pStyle w:val="178"/>
        <w:numPr>
          <w:ilvl w:val="0"/>
          <w:numId w:val="94"/>
        </w:numPr>
      </w:pPr>
      <w:r>
        <w:rPr>
          <w:rFonts w:hint="eastAsia"/>
        </w:rPr>
        <w:t>维修改造方案，包括维修目标、维修改造内容、设计图纸、需更换的电气设备、器具、材料、施工周期、质量要求、维修过程中质量安全措施等。</w:t>
      </w:r>
    </w:p>
    <w:p>
      <w:pPr>
        <w:pStyle w:val="82"/>
        <w:spacing w:before="156" w:after="156"/>
      </w:pPr>
      <w:bookmarkStart w:id="454" w:name="_Toc10401"/>
      <w:bookmarkStart w:id="455" w:name="_Toc241610348"/>
      <w:bookmarkStart w:id="456" w:name="_Toc26523"/>
      <w:bookmarkStart w:id="457" w:name="_Toc19871"/>
      <w:bookmarkStart w:id="458" w:name="_Toc241609832"/>
      <w:r>
        <w:rPr>
          <w:rFonts w:hint="eastAsia"/>
        </w:rPr>
        <w:t>电气系统维修验收</w:t>
      </w:r>
      <w:bookmarkEnd w:id="454"/>
      <w:bookmarkEnd w:id="455"/>
      <w:bookmarkEnd w:id="456"/>
      <w:bookmarkEnd w:id="457"/>
      <w:bookmarkEnd w:id="458"/>
    </w:p>
    <w:p>
      <w:pPr>
        <w:pStyle w:val="216"/>
      </w:pPr>
      <w:r>
        <w:t>凡</w:t>
      </w:r>
      <w:r>
        <w:rPr>
          <w:rFonts w:hint="eastAsia"/>
        </w:rPr>
        <w:t>大中小修</w:t>
      </w:r>
      <w:r>
        <w:t>中使用的新设备、器具、材料者，其施工质量的验收，应按现行国家标准的规定执行；若使用旧设备、器具、材料者，其施工质量的验收，除外观质量可视具体情况商定外，涉及用电安全者，亦应按现行国家标准的规定执行。</w:t>
      </w:r>
    </w:p>
    <w:p>
      <w:pPr>
        <w:pStyle w:val="216"/>
      </w:pPr>
      <w:r>
        <w:t>电气系统维修、改造或更新的设计、施工，应参照</w:t>
      </w:r>
      <w:r>
        <w:rPr>
          <w:rFonts w:hint="eastAsia"/>
        </w:rPr>
        <w:t>相关</w:t>
      </w:r>
      <w:r>
        <w:t>标准执行</w:t>
      </w:r>
      <w:r>
        <w:rPr>
          <w:rFonts w:hint="eastAsia"/>
        </w:rPr>
        <w:t>，具体包括</w:t>
      </w:r>
      <w:r>
        <w:t>JGJ 16</w:t>
      </w:r>
      <w:r>
        <w:rPr>
          <w:rFonts w:hint="eastAsia"/>
        </w:rPr>
        <w:t>、GB</w:t>
      </w:r>
      <w:r>
        <w:t xml:space="preserve"> 50300</w:t>
      </w:r>
      <w:r>
        <w:rPr>
          <w:rFonts w:hint="eastAsia"/>
        </w:rPr>
        <w:t>、GB</w:t>
      </w:r>
      <w:r>
        <w:t xml:space="preserve"> 50303</w:t>
      </w:r>
      <w:r>
        <w:rPr>
          <w:rFonts w:hint="eastAsia"/>
        </w:rPr>
        <w:t>、GB</w:t>
      </w:r>
      <w:r>
        <w:t xml:space="preserve"> 50411</w:t>
      </w:r>
      <w:r>
        <w:rPr>
          <w:rFonts w:hint="eastAsia"/>
        </w:rPr>
        <w:t>、GB</w:t>
      </w:r>
      <w:r>
        <w:t xml:space="preserve"> 50150</w:t>
      </w:r>
      <w:r>
        <w:rPr>
          <w:rFonts w:hint="eastAsia"/>
        </w:rPr>
        <w:t>、GB</w:t>
      </w:r>
      <w:r>
        <w:t xml:space="preserve"> 50168</w:t>
      </w:r>
      <w:r>
        <w:rPr>
          <w:rFonts w:hint="eastAsia"/>
        </w:rPr>
        <w:t>、GB</w:t>
      </w:r>
      <w:r>
        <w:t xml:space="preserve"> 50169</w:t>
      </w:r>
      <w:r>
        <w:rPr>
          <w:rFonts w:hint="eastAsia"/>
        </w:rPr>
        <w:t>、GB</w:t>
      </w:r>
      <w:r>
        <w:t xml:space="preserve"> 50171</w:t>
      </w:r>
      <w:r>
        <w:rPr>
          <w:rFonts w:hint="eastAsia"/>
        </w:rPr>
        <w:t xml:space="preserve">、GB </w:t>
      </w:r>
      <w:r>
        <w:t>50601</w:t>
      </w:r>
      <w:r>
        <w:rPr>
          <w:rFonts w:hint="eastAsia"/>
        </w:rPr>
        <w:t>等。</w:t>
      </w:r>
    </w:p>
    <w:p>
      <w:pPr>
        <w:pStyle w:val="60"/>
        <w:ind w:firstLine="420"/>
      </w:pPr>
    </w:p>
    <w:p>
      <w:pPr>
        <w:pStyle w:val="60"/>
        <w:ind w:firstLine="420"/>
      </w:pPr>
    </w:p>
    <w:p>
      <w:pPr>
        <w:pStyle w:val="60"/>
        <w:ind w:firstLine="420"/>
      </w:pPr>
    </w:p>
    <w:p>
      <w:pPr>
        <w:pStyle w:val="60"/>
        <w:ind w:firstLine="420"/>
        <w:sectPr>
          <w:pgSz w:w="11906" w:h="16838"/>
          <w:pgMar w:top="1928" w:right="1134" w:bottom="1134" w:left="1134" w:header="1418" w:footer="1134" w:gutter="284"/>
          <w:cols w:space="425" w:num="1"/>
          <w:formProt w:val="0"/>
          <w:docGrid w:type="lines" w:linePitch="312" w:charSpace="0"/>
        </w:sectPr>
      </w:pPr>
    </w:p>
    <w:p>
      <w:pPr>
        <w:pStyle w:val="202"/>
        <w:rPr>
          <w:rFonts w:hint="eastAsia"/>
        </w:rPr>
      </w:pPr>
    </w:p>
    <w:p>
      <w:pPr>
        <w:pStyle w:val="203"/>
      </w:pPr>
    </w:p>
    <w:p>
      <w:pPr>
        <w:pStyle w:val="80"/>
        <w:spacing w:before="78" w:after="156"/>
      </w:pPr>
      <w:bookmarkStart w:id="459" w:name="_Toc28500"/>
      <w:r>
        <w:rPr>
          <w:rFonts w:hint="eastAsia"/>
        </w:rPr>
        <w:br w:type="textWrapping"/>
      </w:r>
      <w:bookmarkStart w:id="460" w:name="_Toc241609833"/>
      <w:bookmarkStart w:id="461" w:name="_Toc241610349"/>
      <w:r>
        <w:rPr>
          <w:rFonts w:hint="eastAsia"/>
        </w:rPr>
        <w:t>（规范性）</w:t>
      </w:r>
      <w:r>
        <w:rPr>
          <w:rFonts w:hint="eastAsia"/>
        </w:rPr>
        <w:br w:type="textWrapping"/>
      </w:r>
      <w:r>
        <w:rPr>
          <w:rFonts w:hint="eastAsia"/>
        </w:rPr>
        <w:t>电梯系统检查、维修与验收技术要求</w:t>
      </w:r>
      <w:bookmarkEnd w:id="459"/>
      <w:bookmarkEnd w:id="460"/>
      <w:bookmarkEnd w:id="461"/>
    </w:p>
    <w:p>
      <w:pPr>
        <w:pStyle w:val="82"/>
        <w:spacing w:before="156" w:after="156"/>
      </w:pPr>
      <w:bookmarkStart w:id="462" w:name="_Toc241609834"/>
      <w:bookmarkStart w:id="463" w:name="_Toc241610350"/>
      <w:bookmarkStart w:id="464" w:name="_Toc940"/>
      <w:bookmarkStart w:id="465" w:name="_Toc25817"/>
      <w:bookmarkStart w:id="466" w:name="_Toc15370"/>
      <w:bookmarkStart w:id="467" w:name="_Toc26178"/>
      <w:bookmarkStart w:id="468" w:name="_Toc25943"/>
      <w:bookmarkStart w:id="469" w:name="_Toc29039"/>
      <w:bookmarkStart w:id="470" w:name="_Toc13867"/>
      <w:bookmarkStart w:id="471" w:name="_Toc19597"/>
      <w:bookmarkStart w:id="472" w:name="_Toc9659"/>
      <w:bookmarkStart w:id="473" w:name="_Toc24713"/>
      <w:bookmarkStart w:id="474" w:name="_Toc441240390"/>
      <w:bookmarkStart w:id="475" w:name="_Toc31673"/>
      <w:bookmarkStart w:id="476" w:name="_Toc5368"/>
      <w:bookmarkStart w:id="477" w:name="_Toc182"/>
      <w:bookmarkStart w:id="478" w:name="_Toc6231"/>
      <w:r>
        <w:rPr>
          <w:rFonts w:hint="eastAsia"/>
        </w:rPr>
        <w:t>一般规定与检查</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216"/>
      </w:pPr>
      <w:bookmarkStart w:id="479" w:name="_Toc441240391"/>
      <w:r>
        <w:rPr>
          <w:rFonts w:hint="eastAsia"/>
        </w:rPr>
        <w:t>电梯系统检查、维修与和验收包括</w:t>
      </w:r>
      <w:r>
        <w:t>办公用房</w:t>
      </w:r>
      <w:r>
        <w:rPr>
          <w:rFonts w:hint="eastAsia"/>
        </w:rPr>
        <w:t>范畴内正在使用的</w:t>
      </w:r>
      <w:r>
        <w:t>电力驱动曳引或强制式乘客电梯和载货电梯的检查、评定与维修。在</w:t>
      </w:r>
      <w:r>
        <w:rPr>
          <w:rFonts w:hint="eastAsia"/>
        </w:rPr>
        <w:t>用</w:t>
      </w:r>
      <w:r>
        <w:t>的液压电梯和杂物电梯</w:t>
      </w:r>
      <w:r>
        <w:rPr>
          <w:rFonts w:hint="eastAsia"/>
        </w:rPr>
        <w:t>维修可</w:t>
      </w:r>
      <w:r>
        <w:t>参照</w:t>
      </w:r>
      <w:r>
        <w:rPr>
          <w:rFonts w:hint="eastAsia"/>
        </w:rPr>
        <w:t>本文件</w:t>
      </w:r>
      <w:r>
        <w:t>执行。</w:t>
      </w:r>
    </w:p>
    <w:p>
      <w:pPr>
        <w:pStyle w:val="216"/>
      </w:pPr>
      <w:r>
        <w:t>电梯系统包括底坑与机房、滑轮间、井道、门系统、通道、曳引系统、传动系统、控制系统等。</w:t>
      </w:r>
    </w:p>
    <w:p>
      <w:pPr>
        <w:pStyle w:val="216"/>
      </w:pPr>
      <w:r>
        <w:t>电梯系统的维修分</w:t>
      </w:r>
      <w:r>
        <w:rPr>
          <w:rFonts w:hint="eastAsia"/>
        </w:rPr>
        <w:t>日常维修和大中小修，</w:t>
      </w:r>
      <w:r>
        <w:t>经检查评定为</w:t>
      </w:r>
      <w:r>
        <w:rPr>
          <w:rFonts w:hint="eastAsia"/>
        </w:rPr>
        <w:t>大中小修</w:t>
      </w:r>
      <w:r>
        <w:t>后，应依据国家现行有关标准的规定编制</w:t>
      </w:r>
      <w:r>
        <w:rPr>
          <w:rFonts w:hint="eastAsia"/>
        </w:rPr>
        <w:t>大中小修</w:t>
      </w:r>
      <w:r>
        <w:t>方案</w:t>
      </w:r>
      <w:r>
        <w:rPr>
          <w:rFonts w:hint="eastAsia"/>
        </w:rPr>
        <w:t>。</w:t>
      </w:r>
    </w:p>
    <w:p>
      <w:pPr>
        <w:pStyle w:val="216"/>
      </w:pPr>
      <w:r>
        <w:t>日常维修</w:t>
      </w:r>
      <w:r>
        <w:rPr>
          <w:rFonts w:hint="eastAsia"/>
        </w:rPr>
        <w:t>是</w:t>
      </w:r>
      <w:r>
        <w:t>在电梯交付使用后，为维护系统和设备正常运转而进行的基于日常检查所发现的问题，实施的保养性质的维护、修理。</w:t>
      </w:r>
      <w:r>
        <w:rPr>
          <w:rFonts w:hint="eastAsia"/>
        </w:rPr>
        <w:t>电梯日常维修应由具有电梯维修保养资质的服务机构定期实施。维修内容至少</w:t>
      </w:r>
      <w:r>
        <w:t>包括：清洁、清洗、更换非安全类零部件。</w:t>
      </w:r>
    </w:p>
    <w:p>
      <w:pPr>
        <w:pStyle w:val="216"/>
      </w:pPr>
      <w:r>
        <w:rPr>
          <w:rFonts w:hint="eastAsia"/>
        </w:rPr>
        <w:t>大中小修</w:t>
      </w:r>
      <w:r>
        <w:t>指在电梯交付使用后，基于综合检查结论，实施可局部或整体地改变系统原始设计方案（包括改造和使用功能改变），对安全部件组件或重要部位乃至全系统进行的修理、改装、更换、更新或重新施工，以及设备或系统等附属设施的修理与更换。</w:t>
      </w:r>
      <w:r>
        <w:rPr>
          <w:rFonts w:hint="eastAsia"/>
        </w:rPr>
        <w:t>整体维修应由具有电梯安装资质的电梯安装单位实施。</w:t>
      </w:r>
    </w:p>
    <w:p>
      <w:pPr>
        <w:pStyle w:val="216"/>
      </w:pPr>
      <w:r>
        <w:t>电梯系统的</w:t>
      </w:r>
      <w:r>
        <w:rPr>
          <w:rFonts w:hint="eastAsia"/>
        </w:rPr>
        <w:t>大中小修可单独进行，但</w:t>
      </w:r>
      <w:r>
        <w:t>宜与建筑物结构、电气及其他系统的</w:t>
      </w:r>
      <w:r>
        <w:rPr>
          <w:rFonts w:hint="eastAsia"/>
        </w:rPr>
        <w:t>大中小修</w:t>
      </w:r>
      <w:r>
        <w:t>进行统筹安排。更新改造维修时，电梯系统的各项参数均应达到现行标准要求。</w:t>
      </w:r>
    </w:p>
    <w:p>
      <w:pPr>
        <w:pStyle w:val="216"/>
      </w:pPr>
      <w:r>
        <w:t>若电梯产品制造商对其电梯产品的维修有特殊要求，除执行本标准外，尚应符合其产品维护说明书和电梯维修协议的等特殊要求。</w:t>
      </w:r>
    </w:p>
    <w:bookmarkEnd w:id="479"/>
    <w:p>
      <w:pPr>
        <w:pStyle w:val="216"/>
      </w:pPr>
      <w:r>
        <w:t>五层及五层以上的办公用房</w:t>
      </w:r>
      <w:r>
        <w:rPr>
          <w:rFonts w:hint="eastAsia"/>
        </w:rPr>
        <w:t>，未设置乘客电梯的，可根据实际需求和建筑结构等情况加装乘客电梯。</w:t>
      </w:r>
    </w:p>
    <w:p>
      <w:pPr>
        <w:pStyle w:val="216"/>
      </w:pPr>
      <w:r>
        <w:t>电梯系统的检查，分为日常检查和综合检查</w:t>
      </w:r>
      <w:r>
        <w:rPr>
          <w:rFonts w:hint="eastAsia"/>
        </w:rPr>
        <w:t>，由使用单位负责实施</w:t>
      </w:r>
      <w:r>
        <w:t>。日常检查</w:t>
      </w:r>
      <w:r>
        <w:rPr>
          <w:rFonts w:hint="eastAsia"/>
        </w:rPr>
        <w:t>包括应由</w:t>
      </w:r>
      <w:r>
        <w:t>使用单位的专门人员每日全程乘电梯上下至少各一次</w:t>
      </w:r>
      <w:r>
        <w:rPr>
          <w:rFonts w:hint="eastAsia"/>
        </w:rPr>
        <w:t>进行日常巡视检查和</w:t>
      </w:r>
      <w:r>
        <w:t>根据</w:t>
      </w:r>
      <w:r>
        <w:rPr>
          <w:rFonts w:hint="eastAsia"/>
        </w:rPr>
        <w:t>电梯</w:t>
      </w:r>
      <w:r>
        <w:t>设备使用说明书的要求</w:t>
      </w:r>
      <w:r>
        <w:rPr>
          <w:rFonts w:hint="eastAsia"/>
        </w:rPr>
        <w:t>安排进行定期检查。定期检查</w:t>
      </w:r>
      <w:r>
        <w:t>一般每年1次。</w:t>
      </w:r>
    </w:p>
    <w:p>
      <w:pPr>
        <w:pStyle w:val="216"/>
      </w:pPr>
      <w:r>
        <w:rPr>
          <w:rFonts w:hint="eastAsia"/>
        </w:rPr>
        <w:t>综合检查</w:t>
      </w:r>
      <w:r>
        <w:t>应包括对电梯系统的使用环境、使用功能</w:t>
      </w:r>
      <w:r>
        <w:rPr>
          <w:rFonts w:hint="eastAsia"/>
        </w:rPr>
        <w:t>2</w:t>
      </w:r>
      <w:r>
        <w:t>类内容的检查</w:t>
      </w:r>
      <w:r>
        <w:rPr>
          <w:rFonts w:hint="eastAsia"/>
        </w:rPr>
        <w:t>，</w:t>
      </w:r>
      <w:r>
        <w:t>日常检查</w:t>
      </w:r>
      <w:r>
        <w:rPr>
          <w:rFonts w:hint="eastAsia"/>
        </w:rPr>
        <w:t>和综合检查项目按表G.1所列内容进行：</w:t>
      </w:r>
    </w:p>
    <w:p>
      <w:pPr>
        <w:pStyle w:val="81"/>
        <w:spacing w:before="156" w:after="156"/>
      </w:pPr>
      <w:r>
        <w:rPr>
          <w:rFonts w:hint="eastAsia" w:hAnsi="黑体" w:cs="黑体"/>
        </w:rPr>
        <w:t>电梯系统日常检查和综合检查项目内容一览表</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666"/>
        <w:gridCol w:w="3711"/>
        <w:gridCol w:w="2642"/>
        <w:gridCol w:w="253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672" w:type="dxa"/>
            <w:vMerge w:val="restart"/>
            <w:vAlign w:val="center"/>
          </w:tcPr>
          <w:p>
            <w:pPr>
              <w:pStyle w:val="182"/>
              <w:rPr>
                <w:rFonts w:hAnsi="宋体" w:cs="宋体"/>
                <w:sz w:val="21"/>
                <w:szCs w:val="21"/>
              </w:rPr>
            </w:pPr>
            <w:r>
              <w:rPr>
                <w:rFonts w:hint="eastAsia" w:hAnsi="宋体" w:cs="宋体"/>
                <w:sz w:val="21"/>
                <w:szCs w:val="21"/>
              </w:rPr>
              <w:t>序号</w:t>
            </w:r>
          </w:p>
        </w:tc>
        <w:tc>
          <w:tcPr>
            <w:tcW w:w="3781" w:type="dxa"/>
            <w:vMerge w:val="restart"/>
            <w:vAlign w:val="center"/>
          </w:tcPr>
          <w:p>
            <w:pPr>
              <w:pStyle w:val="182"/>
              <w:rPr>
                <w:rFonts w:hAnsi="宋体" w:cs="宋体"/>
                <w:sz w:val="21"/>
                <w:szCs w:val="21"/>
              </w:rPr>
            </w:pPr>
            <w:r>
              <w:rPr>
                <w:rFonts w:hint="eastAsia" w:hAnsi="宋体" w:cs="宋体"/>
                <w:sz w:val="21"/>
                <w:szCs w:val="21"/>
              </w:rPr>
              <w:t>日常检查项目</w:t>
            </w:r>
          </w:p>
        </w:tc>
        <w:tc>
          <w:tcPr>
            <w:tcW w:w="5271" w:type="dxa"/>
            <w:gridSpan w:val="2"/>
            <w:tcBorders>
              <w:bottom w:val="single" w:color="auto" w:sz="8" w:space="0"/>
            </w:tcBorders>
            <w:vAlign w:val="center"/>
          </w:tcPr>
          <w:p>
            <w:pPr>
              <w:pStyle w:val="182"/>
              <w:rPr>
                <w:rFonts w:hAnsi="宋体" w:cs="宋体"/>
                <w:sz w:val="21"/>
                <w:szCs w:val="21"/>
              </w:rPr>
            </w:pPr>
            <w:r>
              <w:rPr>
                <w:rFonts w:hint="eastAsia" w:hAnsi="宋体" w:cs="宋体"/>
                <w:sz w:val="21"/>
                <w:szCs w:val="21"/>
              </w:rPr>
              <w:t>综合检查项目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672" w:type="dxa"/>
            <w:vMerge w:val="continue"/>
            <w:tcBorders>
              <w:bottom w:val="single" w:color="auto" w:sz="8" w:space="0"/>
            </w:tcBorders>
            <w:vAlign w:val="center"/>
          </w:tcPr>
          <w:p>
            <w:pPr>
              <w:pStyle w:val="182"/>
              <w:rPr>
                <w:rFonts w:hAnsi="宋体" w:cs="宋体"/>
                <w:sz w:val="21"/>
                <w:szCs w:val="21"/>
              </w:rPr>
            </w:pPr>
          </w:p>
        </w:tc>
        <w:tc>
          <w:tcPr>
            <w:tcW w:w="3781" w:type="dxa"/>
            <w:vMerge w:val="continue"/>
            <w:tcBorders>
              <w:bottom w:val="single" w:color="auto" w:sz="8" w:space="0"/>
            </w:tcBorders>
            <w:vAlign w:val="center"/>
          </w:tcPr>
          <w:p>
            <w:pPr>
              <w:pStyle w:val="182"/>
              <w:rPr>
                <w:rFonts w:hAnsi="宋体" w:cs="宋体"/>
                <w:sz w:val="21"/>
                <w:szCs w:val="21"/>
              </w:rPr>
            </w:pPr>
          </w:p>
        </w:tc>
        <w:tc>
          <w:tcPr>
            <w:tcW w:w="2688" w:type="dxa"/>
            <w:tcBorders>
              <w:bottom w:val="single" w:color="auto" w:sz="8" w:space="0"/>
            </w:tcBorders>
            <w:vAlign w:val="center"/>
          </w:tcPr>
          <w:p>
            <w:pPr>
              <w:jc w:val="center"/>
              <w:rPr>
                <w:rFonts w:ascii="宋体" w:hAnsi="宋体" w:cs="宋体"/>
              </w:rPr>
            </w:pPr>
            <w:r>
              <w:rPr>
                <w:rFonts w:hint="eastAsia" w:ascii="宋体" w:hAnsi="宋体" w:cs="宋体"/>
              </w:rPr>
              <w:t>使用环境</w:t>
            </w:r>
          </w:p>
        </w:tc>
        <w:tc>
          <w:tcPr>
            <w:tcW w:w="2583" w:type="dxa"/>
            <w:tcBorders>
              <w:bottom w:val="single" w:color="auto" w:sz="8" w:space="0"/>
            </w:tcBorders>
            <w:vAlign w:val="center"/>
          </w:tcPr>
          <w:p>
            <w:pPr>
              <w:jc w:val="center"/>
              <w:rPr>
                <w:rFonts w:ascii="宋体" w:hAnsi="宋体" w:cs="宋体"/>
              </w:rPr>
            </w:pPr>
            <w:r>
              <w:rPr>
                <w:rFonts w:hint="eastAsia" w:ascii="宋体" w:hAnsi="宋体" w:cs="宋体"/>
              </w:rPr>
              <w:t>使用功能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72" w:type="dxa"/>
            <w:tcBorders>
              <w:top w:val="single" w:color="auto" w:sz="8" w:space="0"/>
            </w:tcBorders>
            <w:vAlign w:val="center"/>
          </w:tcPr>
          <w:p>
            <w:pPr>
              <w:jc w:val="center"/>
              <w:rPr>
                <w:rFonts w:ascii="宋体" w:hAnsi="宋体" w:cs="宋体"/>
              </w:rPr>
            </w:pPr>
            <w:r>
              <w:rPr>
                <w:rFonts w:hint="eastAsia" w:ascii="宋体" w:hAnsi="宋体" w:cs="宋体"/>
              </w:rPr>
              <w:t>1</w:t>
            </w:r>
          </w:p>
        </w:tc>
        <w:tc>
          <w:tcPr>
            <w:tcW w:w="3781" w:type="dxa"/>
            <w:tcBorders>
              <w:top w:val="single" w:color="auto" w:sz="8" w:space="0"/>
            </w:tcBorders>
            <w:vAlign w:val="center"/>
          </w:tcPr>
          <w:p>
            <w:pPr>
              <w:rPr>
                <w:rFonts w:ascii="宋体" w:hAnsi="宋体" w:cs="宋体"/>
              </w:rPr>
            </w:pPr>
            <w:r>
              <w:rPr>
                <w:rFonts w:hint="eastAsia" w:ascii="宋体" w:hAnsi="宋体" w:cs="宋体"/>
              </w:rPr>
              <w:t>轿厢、层门、地坎和候梯厅的清洁情况</w:t>
            </w:r>
          </w:p>
        </w:tc>
        <w:tc>
          <w:tcPr>
            <w:tcW w:w="2688" w:type="dxa"/>
            <w:tcBorders>
              <w:top w:val="single" w:color="auto" w:sz="8" w:space="0"/>
            </w:tcBorders>
            <w:vAlign w:val="center"/>
          </w:tcPr>
          <w:p>
            <w:pPr>
              <w:rPr>
                <w:rFonts w:ascii="宋体" w:hAnsi="宋体" w:cs="宋体"/>
              </w:rPr>
            </w:pPr>
            <w:r>
              <w:rPr>
                <w:rFonts w:hint="eastAsia" w:ascii="宋体" w:hAnsi="宋体" w:cs="宋体"/>
              </w:rPr>
              <w:t>轿厢、层门、地坎和候梯厅的清洁情况</w:t>
            </w:r>
          </w:p>
        </w:tc>
        <w:tc>
          <w:tcPr>
            <w:tcW w:w="2583" w:type="dxa"/>
            <w:tcBorders>
              <w:top w:val="single" w:color="auto" w:sz="8" w:space="0"/>
            </w:tcBorders>
            <w:vAlign w:val="center"/>
          </w:tcPr>
          <w:p>
            <w:pPr>
              <w:rPr>
                <w:rFonts w:ascii="宋体" w:hAnsi="宋体" w:cs="宋体"/>
              </w:rPr>
            </w:pPr>
            <w:r>
              <w:rPr>
                <w:rFonts w:hint="eastAsia" w:ascii="宋体" w:hAnsi="宋体" w:cs="宋体"/>
              </w:rPr>
              <w:t>门锁装置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672" w:type="dxa"/>
            <w:vAlign w:val="center"/>
          </w:tcPr>
          <w:p>
            <w:pPr>
              <w:jc w:val="center"/>
              <w:rPr>
                <w:rFonts w:ascii="宋体" w:hAnsi="宋体" w:cs="宋体"/>
              </w:rPr>
            </w:pPr>
            <w:r>
              <w:rPr>
                <w:rFonts w:hint="eastAsia" w:ascii="宋体" w:hAnsi="宋体" w:cs="宋体"/>
              </w:rPr>
              <w:t>2</w:t>
            </w:r>
          </w:p>
        </w:tc>
        <w:tc>
          <w:tcPr>
            <w:tcW w:w="3781" w:type="dxa"/>
            <w:vAlign w:val="center"/>
          </w:tcPr>
          <w:p>
            <w:pPr>
              <w:rPr>
                <w:rFonts w:ascii="宋体" w:hAnsi="宋体" w:cs="宋体"/>
              </w:rPr>
            </w:pPr>
            <w:r>
              <w:rPr>
                <w:rFonts w:hint="eastAsia" w:ascii="宋体" w:hAnsi="宋体" w:cs="宋体"/>
              </w:rPr>
              <w:t>平层、紧急报警装置动作的检查</w:t>
            </w:r>
          </w:p>
        </w:tc>
        <w:tc>
          <w:tcPr>
            <w:tcW w:w="2688" w:type="dxa"/>
            <w:vAlign w:val="center"/>
          </w:tcPr>
          <w:p>
            <w:pPr>
              <w:rPr>
                <w:rFonts w:ascii="宋体" w:hAnsi="宋体" w:cs="宋体"/>
              </w:rPr>
            </w:pPr>
            <w:r>
              <w:rPr>
                <w:rFonts w:hint="eastAsia" w:ascii="宋体" w:hAnsi="宋体" w:cs="宋体"/>
              </w:rPr>
              <w:t>平层动作情况</w:t>
            </w:r>
          </w:p>
        </w:tc>
        <w:tc>
          <w:tcPr>
            <w:tcW w:w="2583" w:type="dxa"/>
            <w:vAlign w:val="center"/>
          </w:tcPr>
          <w:p>
            <w:pPr>
              <w:rPr>
                <w:rFonts w:ascii="宋体" w:hAnsi="宋体" w:cs="宋体"/>
              </w:rPr>
            </w:pPr>
            <w:r>
              <w:rPr>
                <w:rFonts w:hint="eastAsia" w:ascii="宋体" w:hAnsi="宋体" w:cs="宋体"/>
              </w:rPr>
              <w:t>悬挂装置及其附件</w:t>
            </w:r>
          </w:p>
        </w:tc>
      </w:tr>
    </w:tbl>
    <w:p>
      <w:pPr>
        <w:jc w:val="center"/>
        <w:rPr>
          <w:rFonts w:ascii="宋体" w:hAnsi="宋体" w:cs="宋体"/>
        </w:rPr>
      </w:pPr>
      <w:r>
        <w:rPr>
          <w:rFonts w:hint="eastAsia" w:ascii="宋体" w:hAnsi="宋体" w:cs="宋体"/>
        </w:rPr>
        <w:br w:type="page"/>
      </w:r>
    </w:p>
    <w:p>
      <w:pPr>
        <w:pStyle w:val="60"/>
        <w:pageBreakBefore/>
        <w:spacing w:before="156" w:beforeLines="50" w:after="156" w:afterLines="50"/>
        <w:ind w:firstLine="0" w:firstLineChars="0"/>
        <w:jc w:val="center"/>
        <w:rPr>
          <w:rFonts w:hAnsi="宋体" w:cs="宋体"/>
        </w:rPr>
      </w:pPr>
      <w:r>
        <w:rPr>
          <w:rFonts w:hint="eastAsia" w:ascii="黑体" w:hAnsi="黑体" w:eastAsia="黑体" w:cs="黑体"/>
        </w:rPr>
        <w:t>表G.1  电梯系统日常检查和综合检查项目内容一览表</w:t>
      </w:r>
      <w:r>
        <w:rPr>
          <w:rFonts w:hint="eastAsia" w:hAnsi="宋体" w:cs="宋体"/>
        </w:rPr>
        <w:t>（续）</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666"/>
        <w:gridCol w:w="3709"/>
        <w:gridCol w:w="2641"/>
        <w:gridCol w:w="25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672" w:type="dxa"/>
            <w:vMerge w:val="restart"/>
            <w:vAlign w:val="center"/>
          </w:tcPr>
          <w:p>
            <w:pPr>
              <w:pStyle w:val="182"/>
              <w:rPr>
                <w:rFonts w:hAnsi="宋体" w:cs="宋体"/>
                <w:sz w:val="21"/>
                <w:szCs w:val="21"/>
              </w:rPr>
            </w:pPr>
            <w:r>
              <w:rPr>
                <w:rFonts w:hint="eastAsia" w:hAnsi="宋体" w:cs="宋体"/>
                <w:sz w:val="21"/>
                <w:szCs w:val="21"/>
              </w:rPr>
              <w:t>序号</w:t>
            </w:r>
          </w:p>
        </w:tc>
        <w:tc>
          <w:tcPr>
            <w:tcW w:w="3781" w:type="dxa"/>
            <w:vMerge w:val="restart"/>
            <w:vAlign w:val="center"/>
          </w:tcPr>
          <w:p>
            <w:pPr>
              <w:pStyle w:val="182"/>
              <w:rPr>
                <w:rFonts w:hAnsi="宋体" w:cs="宋体"/>
                <w:sz w:val="21"/>
                <w:szCs w:val="21"/>
              </w:rPr>
            </w:pPr>
            <w:r>
              <w:rPr>
                <w:rFonts w:hint="eastAsia" w:hAnsi="宋体" w:cs="宋体"/>
                <w:sz w:val="21"/>
                <w:szCs w:val="21"/>
              </w:rPr>
              <w:t>日常检查项目</w:t>
            </w:r>
          </w:p>
        </w:tc>
        <w:tc>
          <w:tcPr>
            <w:tcW w:w="5271" w:type="dxa"/>
            <w:gridSpan w:val="2"/>
            <w:tcBorders>
              <w:bottom w:val="single" w:color="auto" w:sz="8" w:space="0"/>
            </w:tcBorders>
            <w:vAlign w:val="center"/>
          </w:tcPr>
          <w:p>
            <w:pPr>
              <w:pStyle w:val="182"/>
              <w:rPr>
                <w:rFonts w:hAnsi="宋体" w:cs="宋体"/>
                <w:sz w:val="21"/>
                <w:szCs w:val="21"/>
              </w:rPr>
            </w:pPr>
            <w:r>
              <w:rPr>
                <w:rFonts w:hint="eastAsia" w:hAnsi="宋体" w:cs="宋体"/>
                <w:sz w:val="21"/>
                <w:szCs w:val="21"/>
              </w:rPr>
              <w:t>综合检查项目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672" w:type="dxa"/>
            <w:vMerge w:val="continue"/>
            <w:tcBorders>
              <w:bottom w:val="single" w:color="auto" w:sz="8" w:space="0"/>
            </w:tcBorders>
            <w:vAlign w:val="center"/>
          </w:tcPr>
          <w:p>
            <w:pPr>
              <w:pStyle w:val="182"/>
              <w:rPr>
                <w:rFonts w:hAnsi="宋体" w:cs="宋体"/>
                <w:sz w:val="21"/>
                <w:szCs w:val="21"/>
              </w:rPr>
            </w:pPr>
          </w:p>
        </w:tc>
        <w:tc>
          <w:tcPr>
            <w:tcW w:w="3781" w:type="dxa"/>
            <w:vMerge w:val="continue"/>
            <w:tcBorders>
              <w:bottom w:val="single" w:color="auto" w:sz="8" w:space="0"/>
            </w:tcBorders>
            <w:vAlign w:val="center"/>
          </w:tcPr>
          <w:p>
            <w:pPr>
              <w:pStyle w:val="182"/>
              <w:rPr>
                <w:rFonts w:hAnsi="宋体" w:cs="宋体"/>
                <w:sz w:val="21"/>
                <w:szCs w:val="21"/>
              </w:rPr>
            </w:pPr>
          </w:p>
        </w:tc>
        <w:tc>
          <w:tcPr>
            <w:tcW w:w="2688" w:type="dxa"/>
            <w:tcBorders>
              <w:bottom w:val="single" w:color="auto" w:sz="8" w:space="0"/>
            </w:tcBorders>
            <w:vAlign w:val="center"/>
          </w:tcPr>
          <w:p>
            <w:pPr>
              <w:jc w:val="center"/>
              <w:rPr>
                <w:rFonts w:ascii="宋体" w:hAnsi="宋体" w:cs="宋体"/>
              </w:rPr>
            </w:pPr>
            <w:r>
              <w:rPr>
                <w:rFonts w:hint="eastAsia" w:ascii="宋体" w:hAnsi="宋体" w:cs="宋体"/>
              </w:rPr>
              <w:t>使用环境</w:t>
            </w:r>
          </w:p>
        </w:tc>
        <w:tc>
          <w:tcPr>
            <w:tcW w:w="2583" w:type="dxa"/>
            <w:tcBorders>
              <w:bottom w:val="single" w:color="auto" w:sz="8" w:space="0"/>
            </w:tcBorders>
            <w:vAlign w:val="center"/>
          </w:tcPr>
          <w:p>
            <w:pPr>
              <w:jc w:val="center"/>
              <w:rPr>
                <w:rFonts w:ascii="宋体" w:hAnsi="宋体" w:cs="宋体"/>
              </w:rPr>
            </w:pPr>
            <w:r>
              <w:rPr>
                <w:rFonts w:hint="eastAsia" w:ascii="宋体" w:hAnsi="宋体" w:cs="宋体"/>
              </w:rPr>
              <w:t>使用功能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72" w:type="dxa"/>
            <w:tcBorders>
              <w:top w:val="single" w:color="auto" w:sz="8" w:space="0"/>
            </w:tcBorders>
            <w:vAlign w:val="center"/>
          </w:tcPr>
          <w:p>
            <w:pPr>
              <w:jc w:val="center"/>
              <w:rPr>
                <w:rFonts w:ascii="宋体" w:hAnsi="宋体" w:cs="宋体"/>
              </w:rPr>
            </w:pPr>
            <w:r>
              <w:rPr>
                <w:rFonts w:hint="eastAsia" w:ascii="宋体" w:hAnsi="宋体" w:cs="宋体"/>
              </w:rPr>
              <w:t>3</w:t>
            </w:r>
          </w:p>
        </w:tc>
        <w:tc>
          <w:tcPr>
            <w:tcW w:w="3781" w:type="dxa"/>
            <w:tcBorders>
              <w:top w:val="single" w:color="auto" w:sz="8" w:space="0"/>
            </w:tcBorders>
            <w:vAlign w:val="center"/>
          </w:tcPr>
          <w:p>
            <w:pPr>
              <w:rPr>
                <w:rFonts w:ascii="宋体" w:hAnsi="宋体" w:cs="宋体"/>
              </w:rPr>
            </w:pPr>
            <w:r>
              <w:rPr>
                <w:rFonts w:hint="eastAsia" w:ascii="宋体" w:hAnsi="宋体" w:cs="宋体"/>
              </w:rPr>
              <w:t>层门与门保护装置动作的检查</w:t>
            </w:r>
          </w:p>
        </w:tc>
        <w:tc>
          <w:tcPr>
            <w:tcW w:w="2688" w:type="dxa"/>
            <w:tcBorders>
              <w:top w:val="single" w:color="auto" w:sz="8" w:space="0"/>
            </w:tcBorders>
            <w:vAlign w:val="center"/>
          </w:tcPr>
          <w:p>
            <w:pPr>
              <w:rPr>
                <w:rFonts w:ascii="宋体" w:hAnsi="宋体" w:cs="宋体"/>
              </w:rPr>
            </w:pPr>
            <w:r>
              <w:rPr>
                <w:rFonts w:hint="eastAsia" w:ascii="宋体" w:hAnsi="宋体" w:cs="宋体"/>
              </w:rPr>
              <w:t>层门与门保护装置动作</w:t>
            </w:r>
          </w:p>
        </w:tc>
        <w:tc>
          <w:tcPr>
            <w:tcW w:w="2583" w:type="dxa"/>
            <w:tcBorders>
              <w:top w:val="single" w:color="auto" w:sz="8" w:space="0"/>
            </w:tcBorders>
            <w:vAlign w:val="center"/>
          </w:tcPr>
          <w:p>
            <w:pPr>
              <w:rPr>
                <w:rFonts w:ascii="宋体" w:hAnsi="宋体" w:cs="宋体"/>
              </w:rPr>
            </w:pPr>
            <w:r>
              <w:rPr>
                <w:rFonts w:hint="eastAsia" w:ascii="宋体" w:hAnsi="宋体" w:cs="宋体"/>
              </w:rPr>
              <w:t>制动系统试验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672" w:type="dxa"/>
            <w:vAlign w:val="center"/>
          </w:tcPr>
          <w:p>
            <w:pPr>
              <w:jc w:val="center"/>
              <w:rPr>
                <w:rFonts w:ascii="宋体" w:hAnsi="宋体" w:cs="宋体"/>
              </w:rPr>
            </w:pPr>
            <w:r>
              <w:rPr>
                <w:rFonts w:hint="eastAsia" w:ascii="宋体" w:hAnsi="宋体" w:cs="宋体"/>
              </w:rPr>
              <w:t>4</w:t>
            </w:r>
          </w:p>
        </w:tc>
        <w:tc>
          <w:tcPr>
            <w:tcW w:w="3781" w:type="dxa"/>
            <w:vAlign w:val="center"/>
          </w:tcPr>
          <w:p>
            <w:pPr>
              <w:rPr>
                <w:rFonts w:ascii="宋体" w:hAnsi="宋体" w:cs="宋体"/>
              </w:rPr>
            </w:pPr>
            <w:r>
              <w:rPr>
                <w:rFonts w:hint="eastAsia" w:ascii="宋体" w:hAnsi="宋体" w:cs="宋体"/>
              </w:rPr>
              <w:t>层站呼梯盒、轿厢内操纵盘按钮</w:t>
            </w:r>
          </w:p>
        </w:tc>
        <w:tc>
          <w:tcPr>
            <w:tcW w:w="2688" w:type="dxa"/>
            <w:vAlign w:val="center"/>
          </w:tcPr>
          <w:p>
            <w:pPr>
              <w:rPr>
                <w:rFonts w:ascii="宋体" w:hAnsi="宋体" w:cs="宋体"/>
              </w:rPr>
            </w:pPr>
            <w:r>
              <w:rPr>
                <w:rFonts w:hint="eastAsia" w:ascii="宋体" w:hAnsi="宋体" w:cs="宋体"/>
              </w:rPr>
              <w:t>层站呼梯盒、轿厢内操纵盘按钮</w:t>
            </w:r>
          </w:p>
        </w:tc>
        <w:tc>
          <w:tcPr>
            <w:tcW w:w="2583" w:type="dxa"/>
            <w:vAlign w:val="center"/>
          </w:tcPr>
          <w:p>
            <w:pPr>
              <w:rPr>
                <w:rFonts w:ascii="宋体" w:hAnsi="宋体" w:cs="宋体"/>
              </w:rPr>
            </w:pPr>
            <w:r>
              <w:rPr>
                <w:rFonts w:hint="eastAsia" w:ascii="宋体" w:hAnsi="宋体" w:cs="宋体"/>
              </w:rPr>
              <w:t>限速器与安全钳联动试验</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72" w:type="dxa"/>
            <w:vAlign w:val="center"/>
          </w:tcPr>
          <w:p>
            <w:pPr>
              <w:jc w:val="center"/>
              <w:rPr>
                <w:rFonts w:ascii="宋体" w:hAnsi="宋体" w:cs="宋体"/>
              </w:rPr>
            </w:pPr>
            <w:r>
              <w:rPr>
                <w:rFonts w:hint="eastAsia" w:ascii="宋体" w:hAnsi="宋体" w:cs="宋体"/>
              </w:rPr>
              <w:t>5</w:t>
            </w:r>
          </w:p>
        </w:tc>
        <w:tc>
          <w:tcPr>
            <w:tcW w:w="3781" w:type="dxa"/>
            <w:vAlign w:val="center"/>
          </w:tcPr>
          <w:p>
            <w:pPr>
              <w:rPr>
                <w:rFonts w:ascii="宋体" w:hAnsi="宋体" w:cs="宋体"/>
              </w:rPr>
            </w:pPr>
            <w:r>
              <w:rPr>
                <w:rFonts w:hint="eastAsia" w:ascii="宋体" w:hAnsi="宋体" w:cs="宋体"/>
              </w:rPr>
              <w:t>轿厢照明及层站指示器及到站钟（如果有）显示</w:t>
            </w:r>
          </w:p>
        </w:tc>
        <w:tc>
          <w:tcPr>
            <w:tcW w:w="2688" w:type="dxa"/>
            <w:vAlign w:val="center"/>
          </w:tcPr>
          <w:p>
            <w:pPr>
              <w:rPr>
                <w:rFonts w:ascii="宋体" w:hAnsi="宋体" w:cs="宋体"/>
              </w:rPr>
            </w:pPr>
            <w:r>
              <w:rPr>
                <w:rFonts w:hint="eastAsia" w:ascii="宋体" w:hAnsi="宋体" w:cs="宋体"/>
              </w:rPr>
              <w:t>层站指示器及到站钟（如果有）显示</w:t>
            </w:r>
          </w:p>
        </w:tc>
        <w:tc>
          <w:tcPr>
            <w:tcW w:w="2583" w:type="dxa"/>
            <w:vAlign w:val="center"/>
          </w:tcPr>
          <w:p>
            <w:pPr>
              <w:rPr>
                <w:rFonts w:ascii="宋体" w:hAnsi="宋体" w:cs="宋体"/>
              </w:rPr>
            </w:pPr>
            <w:r>
              <w:rPr>
                <w:rFonts w:hint="eastAsia" w:ascii="宋体" w:hAnsi="宋体" w:cs="宋体"/>
              </w:rPr>
              <w:t>缓冲器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72" w:type="dxa"/>
            <w:vAlign w:val="center"/>
          </w:tcPr>
          <w:p>
            <w:pPr>
              <w:jc w:val="center"/>
              <w:rPr>
                <w:rFonts w:ascii="宋体" w:hAnsi="宋体" w:cs="宋体"/>
              </w:rPr>
            </w:pPr>
            <w:r>
              <w:rPr>
                <w:rFonts w:hint="eastAsia" w:ascii="宋体" w:hAnsi="宋体" w:cs="宋体"/>
              </w:rPr>
              <w:t>6</w:t>
            </w:r>
          </w:p>
        </w:tc>
        <w:tc>
          <w:tcPr>
            <w:tcW w:w="3781" w:type="dxa"/>
            <w:vAlign w:val="center"/>
          </w:tcPr>
          <w:p>
            <w:pPr>
              <w:rPr>
                <w:rFonts w:ascii="宋体" w:hAnsi="宋体" w:cs="宋体"/>
              </w:rPr>
            </w:pPr>
            <w:r>
              <w:rPr>
                <w:rFonts w:hint="eastAsia" w:ascii="宋体" w:hAnsi="宋体" w:cs="宋体"/>
              </w:rPr>
              <w:t>轿厢通风或空调，有无异常感受、气味</w:t>
            </w:r>
          </w:p>
        </w:tc>
        <w:tc>
          <w:tcPr>
            <w:tcW w:w="2688" w:type="dxa"/>
            <w:vAlign w:val="center"/>
          </w:tcPr>
          <w:p>
            <w:pPr>
              <w:rPr>
                <w:rFonts w:ascii="宋体" w:hAnsi="宋体" w:cs="宋体"/>
              </w:rPr>
            </w:pPr>
            <w:r>
              <w:rPr>
                <w:rFonts w:hint="eastAsia" w:ascii="宋体" w:hAnsi="宋体" w:cs="宋体"/>
              </w:rPr>
              <w:t>紧急报警装置动作</w:t>
            </w:r>
          </w:p>
        </w:tc>
        <w:tc>
          <w:tcPr>
            <w:tcW w:w="2583" w:type="dxa"/>
            <w:vAlign w:val="center"/>
          </w:tcPr>
          <w:p>
            <w:pPr>
              <w:rPr>
                <w:rFonts w:ascii="宋体" w:hAnsi="宋体" w:cs="宋体"/>
              </w:rPr>
            </w:pPr>
            <w:r>
              <w:rPr>
                <w:rFonts w:hint="eastAsia" w:ascii="宋体" w:hAnsi="宋体" w:cs="宋体"/>
              </w:rPr>
              <w:t>报警装置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72" w:type="dxa"/>
            <w:vAlign w:val="center"/>
          </w:tcPr>
          <w:p>
            <w:pPr>
              <w:jc w:val="center"/>
              <w:rPr>
                <w:rFonts w:ascii="宋体" w:hAnsi="宋体" w:cs="宋体"/>
              </w:rPr>
            </w:pPr>
            <w:r>
              <w:rPr>
                <w:rFonts w:hint="eastAsia" w:ascii="宋体" w:hAnsi="宋体" w:cs="宋体"/>
              </w:rPr>
              <w:t>7</w:t>
            </w:r>
          </w:p>
        </w:tc>
        <w:tc>
          <w:tcPr>
            <w:tcW w:w="3781" w:type="dxa"/>
            <w:vAlign w:val="center"/>
          </w:tcPr>
          <w:p>
            <w:pPr>
              <w:rPr>
                <w:rFonts w:ascii="宋体" w:hAnsi="宋体" w:cs="宋体"/>
              </w:rPr>
            </w:pPr>
            <w:r>
              <w:rPr>
                <w:rFonts w:hint="eastAsia" w:ascii="宋体" w:hAnsi="宋体" w:cs="宋体"/>
              </w:rPr>
              <w:t>电梯运行噪声检查</w:t>
            </w:r>
          </w:p>
        </w:tc>
        <w:tc>
          <w:tcPr>
            <w:tcW w:w="2688" w:type="dxa"/>
            <w:vAlign w:val="center"/>
          </w:tcPr>
          <w:p>
            <w:pPr>
              <w:rPr>
                <w:rFonts w:ascii="宋体" w:hAnsi="宋体" w:cs="宋体"/>
              </w:rPr>
            </w:pPr>
            <w:r>
              <w:rPr>
                <w:rFonts w:hint="eastAsia" w:ascii="宋体" w:hAnsi="宋体" w:cs="宋体"/>
              </w:rPr>
              <w:t>轿厢及层站的照明</w:t>
            </w:r>
          </w:p>
        </w:tc>
        <w:tc>
          <w:tcPr>
            <w:tcW w:w="2583" w:type="dxa"/>
            <w:vAlign w:val="center"/>
          </w:tcPr>
          <w:p>
            <w:pPr>
              <w:rPr>
                <w:rFonts w:ascii="宋体" w:hAnsi="宋体" w:cs="宋体"/>
              </w:rPr>
            </w:pPr>
            <w:r>
              <w:rPr>
                <w:rFonts w:hint="eastAsia" w:ascii="宋体" w:hAnsi="宋体" w:cs="宋体"/>
              </w:rPr>
              <w:t>轿厢上行超速保护装置（如果有）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672" w:type="dxa"/>
            <w:vAlign w:val="center"/>
          </w:tcPr>
          <w:p>
            <w:pPr>
              <w:jc w:val="center"/>
              <w:rPr>
                <w:rFonts w:ascii="宋体" w:hAnsi="宋体" w:cs="宋体"/>
              </w:rPr>
            </w:pPr>
            <w:r>
              <w:rPr>
                <w:rFonts w:hint="eastAsia" w:ascii="宋体" w:hAnsi="宋体" w:cs="宋体"/>
              </w:rPr>
              <w:t>8</w:t>
            </w:r>
          </w:p>
        </w:tc>
        <w:tc>
          <w:tcPr>
            <w:tcW w:w="3781" w:type="dxa"/>
            <w:vAlign w:val="center"/>
          </w:tcPr>
          <w:p>
            <w:pPr>
              <w:rPr>
                <w:rFonts w:ascii="宋体" w:hAnsi="宋体" w:cs="宋体"/>
              </w:rPr>
            </w:pPr>
            <w:r>
              <w:rPr>
                <w:rFonts w:hint="eastAsia" w:ascii="宋体" w:hAnsi="宋体" w:cs="宋体"/>
              </w:rPr>
              <w:t>主要设备维护保养的日常检查技术资料、人员岗位和规章制度的检查</w:t>
            </w:r>
          </w:p>
        </w:tc>
        <w:tc>
          <w:tcPr>
            <w:tcW w:w="2688" w:type="dxa"/>
            <w:vAlign w:val="center"/>
          </w:tcPr>
          <w:p>
            <w:pPr>
              <w:rPr>
                <w:rFonts w:ascii="宋体" w:hAnsi="宋体" w:cs="宋体"/>
              </w:rPr>
            </w:pPr>
            <w:r>
              <w:rPr>
                <w:rFonts w:hint="eastAsia" w:ascii="宋体" w:hAnsi="宋体" w:cs="宋体"/>
              </w:rPr>
              <w:t>轿厢通风或空调</w:t>
            </w:r>
          </w:p>
        </w:tc>
        <w:tc>
          <w:tcPr>
            <w:tcW w:w="2583" w:type="dxa"/>
            <w:vAlign w:val="center"/>
          </w:tcPr>
          <w:p>
            <w:pPr>
              <w:rPr>
                <w:rFonts w:ascii="宋体" w:hAnsi="宋体" w:cs="宋体"/>
              </w:rPr>
            </w:pPr>
            <w:r>
              <w:rPr>
                <w:rFonts w:hint="eastAsia" w:ascii="宋体" w:hAnsi="宋体" w:cs="宋体"/>
              </w:rPr>
              <w:t>层门强迫关闭装置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72" w:type="dxa"/>
            <w:vAlign w:val="center"/>
          </w:tcPr>
          <w:p>
            <w:pPr>
              <w:jc w:val="center"/>
              <w:rPr>
                <w:rFonts w:ascii="宋体" w:hAnsi="宋体" w:cs="宋体"/>
              </w:rPr>
            </w:pPr>
            <w:r>
              <w:rPr>
                <w:rFonts w:hint="eastAsia" w:ascii="宋体" w:hAnsi="宋体" w:cs="宋体"/>
              </w:rPr>
              <w:t>9</w:t>
            </w:r>
          </w:p>
        </w:tc>
        <w:tc>
          <w:tcPr>
            <w:tcW w:w="3781" w:type="dxa"/>
            <w:vAlign w:val="center"/>
          </w:tcPr>
          <w:p>
            <w:pPr>
              <w:rPr>
                <w:rFonts w:ascii="宋体" w:hAnsi="宋体" w:cs="宋体"/>
              </w:rPr>
            </w:pPr>
            <w:r>
              <w:rPr>
                <w:rFonts w:hint="eastAsia" w:ascii="宋体" w:hAnsi="宋体" w:cs="宋体"/>
              </w:rPr>
              <w:t>机房环境空气温度和相对湿度的检查</w:t>
            </w:r>
          </w:p>
        </w:tc>
        <w:tc>
          <w:tcPr>
            <w:tcW w:w="2688" w:type="dxa"/>
            <w:vAlign w:val="center"/>
          </w:tcPr>
          <w:p>
            <w:pPr>
              <w:rPr>
                <w:rFonts w:ascii="宋体" w:hAnsi="宋体" w:cs="宋体"/>
              </w:rPr>
            </w:pPr>
            <w:r>
              <w:rPr>
                <w:rFonts w:hint="eastAsia" w:ascii="宋体" w:hAnsi="宋体" w:cs="宋体"/>
              </w:rPr>
              <w:t>电梯运行有无异常感受、声响、气味等</w:t>
            </w:r>
          </w:p>
        </w:tc>
        <w:tc>
          <w:tcPr>
            <w:tcW w:w="2583" w:type="dxa"/>
            <w:vAlign w:val="center"/>
          </w:tcPr>
          <w:p>
            <w:pPr>
              <w:rPr>
                <w:rFonts w:ascii="宋体" w:hAnsi="宋体" w:cs="宋体"/>
              </w:rPr>
            </w:pPr>
            <w:r>
              <w:rPr>
                <w:rFonts w:hint="eastAsia" w:ascii="宋体" w:hAnsi="宋体" w:cs="宋体"/>
              </w:rPr>
              <w:t>载重量控制装置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72" w:type="dxa"/>
            <w:vAlign w:val="center"/>
          </w:tcPr>
          <w:p>
            <w:pPr>
              <w:jc w:val="center"/>
              <w:rPr>
                <w:rFonts w:ascii="宋体" w:hAnsi="宋体" w:cs="宋体"/>
              </w:rPr>
            </w:pPr>
            <w:r>
              <w:rPr>
                <w:rFonts w:hint="eastAsia" w:ascii="宋体" w:hAnsi="宋体" w:cs="宋体"/>
              </w:rPr>
              <w:t>10</w:t>
            </w:r>
          </w:p>
        </w:tc>
        <w:tc>
          <w:tcPr>
            <w:tcW w:w="3781" w:type="dxa"/>
            <w:vAlign w:val="center"/>
          </w:tcPr>
          <w:p>
            <w:pPr>
              <w:jc w:val="center"/>
              <w:rPr>
                <w:rFonts w:ascii="宋体" w:hAnsi="宋体" w:cs="宋体"/>
              </w:rPr>
            </w:pPr>
            <w:r>
              <w:rPr>
                <w:rFonts w:hint="eastAsia" w:ascii="宋体" w:hAnsi="宋体" w:cs="宋体"/>
              </w:rPr>
              <w:t>/</w:t>
            </w:r>
          </w:p>
        </w:tc>
        <w:tc>
          <w:tcPr>
            <w:tcW w:w="2688" w:type="dxa"/>
            <w:vAlign w:val="center"/>
          </w:tcPr>
          <w:p>
            <w:pPr>
              <w:rPr>
                <w:rFonts w:ascii="宋体" w:hAnsi="宋体" w:cs="宋体"/>
              </w:rPr>
            </w:pPr>
            <w:r>
              <w:rPr>
                <w:rFonts w:hint="eastAsia" w:ascii="宋体" w:hAnsi="宋体" w:cs="宋体"/>
              </w:rPr>
              <w:t>机房环境温度与湿湿度</w:t>
            </w:r>
          </w:p>
        </w:tc>
        <w:tc>
          <w:tcPr>
            <w:tcW w:w="2583" w:type="dxa"/>
            <w:vAlign w:val="center"/>
          </w:tcPr>
          <w:p>
            <w:pPr>
              <w:rPr>
                <w:rFonts w:ascii="宋体" w:hAnsi="宋体" w:cs="宋体"/>
              </w:rPr>
            </w:pPr>
            <w:r>
              <w:rPr>
                <w:rFonts w:hint="eastAsia" w:ascii="宋体" w:hAnsi="宋体" w:cs="宋体"/>
              </w:rPr>
              <w:t>曳引能力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72" w:type="dxa"/>
            <w:vAlign w:val="center"/>
          </w:tcPr>
          <w:p>
            <w:pPr>
              <w:jc w:val="center"/>
              <w:rPr>
                <w:rFonts w:ascii="宋体" w:hAnsi="宋体" w:cs="宋体"/>
              </w:rPr>
            </w:pPr>
            <w:r>
              <w:rPr>
                <w:rFonts w:hint="eastAsia" w:ascii="宋体" w:hAnsi="宋体" w:cs="宋体"/>
              </w:rPr>
              <w:t>11</w:t>
            </w:r>
          </w:p>
        </w:tc>
        <w:tc>
          <w:tcPr>
            <w:tcW w:w="3781" w:type="dxa"/>
            <w:vAlign w:val="center"/>
          </w:tcPr>
          <w:p>
            <w:pPr>
              <w:jc w:val="center"/>
              <w:rPr>
                <w:rFonts w:ascii="宋体" w:hAnsi="宋体" w:cs="宋体"/>
              </w:rPr>
            </w:pPr>
            <w:r>
              <w:rPr>
                <w:rFonts w:hint="eastAsia" w:ascii="宋体" w:hAnsi="宋体" w:cs="宋体"/>
              </w:rPr>
              <w:t>/</w:t>
            </w:r>
          </w:p>
        </w:tc>
        <w:tc>
          <w:tcPr>
            <w:tcW w:w="2688" w:type="dxa"/>
            <w:vAlign w:val="center"/>
          </w:tcPr>
          <w:p>
            <w:pPr>
              <w:rPr>
                <w:rFonts w:ascii="宋体" w:hAnsi="宋体" w:cs="宋体"/>
              </w:rPr>
            </w:pPr>
            <w:r>
              <w:rPr>
                <w:rFonts w:hint="eastAsia" w:ascii="宋体" w:hAnsi="宋体" w:cs="宋体"/>
              </w:rPr>
              <w:t>使用说明书中规定的其他项目</w:t>
            </w:r>
          </w:p>
        </w:tc>
        <w:tc>
          <w:tcPr>
            <w:tcW w:w="2583" w:type="dxa"/>
            <w:vAlign w:val="center"/>
          </w:tcPr>
          <w:p>
            <w:pPr>
              <w:rPr>
                <w:rFonts w:ascii="宋体" w:hAnsi="宋体" w:cs="宋体"/>
              </w:rPr>
            </w:pPr>
            <w:r>
              <w:rPr>
                <w:rFonts w:hint="eastAsia" w:ascii="宋体" w:hAnsi="宋体" w:cs="宋体"/>
              </w:rPr>
              <w:t>电气安全装置</w:t>
            </w:r>
          </w:p>
        </w:tc>
      </w:tr>
    </w:tbl>
    <w:p>
      <w:pPr>
        <w:pStyle w:val="216"/>
      </w:pPr>
      <w:r>
        <w:t>电梯的整体性能状况应依据对项目</w:t>
      </w:r>
      <w:r>
        <w:rPr>
          <w:rFonts w:hint="eastAsia"/>
        </w:rPr>
        <w:t>综合检查</w:t>
      </w:r>
      <w:r>
        <w:t>评定的结果，进行综合分析，按下列4个等级描述电梯系统整体性能状况评定结果</w:t>
      </w:r>
      <w:r>
        <w:rPr>
          <w:rFonts w:hint="eastAsia"/>
        </w:rPr>
        <w:t>，</w:t>
      </w:r>
      <w:r>
        <w:t>划分等级</w:t>
      </w:r>
      <w:r>
        <w:rPr>
          <w:rFonts w:hint="eastAsia"/>
        </w:rPr>
        <w:t>：</w:t>
      </w:r>
    </w:p>
    <w:p>
      <w:pPr>
        <w:pStyle w:val="178"/>
        <w:numPr>
          <w:ilvl w:val="0"/>
          <w:numId w:val="95"/>
        </w:numPr>
      </w:pPr>
      <w:r>
        <w:rPr>
          <w:rFonts w:hint="eastAsia"/>
        </w:rPr>
        <w:t>A级：符合本标准要求，能安全、正常地运行，仅需按日常检查计划进行维护（保养），可继续安全使用。</w:t>
      </w:r>
    </w:p>
    <w:p>
      <w:pPr>
        <w:pStyle w:val="178"/>
        <w:numPr>
          <w:ilvl w:val="0"/>
          <w:numId w:val="95"/>
        </w:numPr>
      </w:pPr>
      <w:r>
        <w:rPr>
          <w:rFonts w:hint="eastAsia"/>
        </w:rPr>
        <w:t>B级：略低于本标准要求，尚不显著影响安全和正常运行，根据日常检查和综合检查，仅有个别旧部件需进行加工、修配或更换，仍可继续安全使用。</w:t>
      </w:r>
    </w:p>
    <w:p>
      <w:pPr>
        <w:pStyle w:val="178"/>
        <w:numPr>
          <w:ilvl w:val="0"/>
          <w:numId w:val="95"/>
        </w:numPr>
      </w:pPr>
      <w:r>
        <w:rPr>
          <w:rFonts w:hint="eastAsia"/>
        </w:rPr>
        <w:t>C级：不符合本标准要求，显著影响安全或正常运行，根据综合检查，有部分重要部件存在安全隐患或性能下降等问题，需经中修或紧急修理后才能安全使用。</w:t>
      </w:r>
    </w:p>
    <w:p>
      <w:pPr>
        <w:pStyle w:val="178"/>
        <w:numPr>
          <w:ilvl w:val="0"/>
          <w:numId w:val="95"/>
        </w:numPr>
      </w:pPr>
      <w:r>
        <w:rPr>
          <w:rFonts w:hint="eastAsia"/>
        </w:rPr>
        <w:t>D级：极不符合本标准要求，严重影响安全和正常运行，经检查评定后，主要部件</w:t>
      </w:r>
      <w:r>
        <w:t>存在安全问题或性能全面下降问题，需经大修后才能安全使用，若技术经济评估表明该电梯的适修性很差，则应建议予以更新。</w:t>
      </w:r>
    </w:p>
    <w:p>
      <w:pPr>
        <w:pStyle w:val="216"/>
      </w:pPr>
      <w:r>
        <w:rPr>
          <w:rFonts w:hint="eastAsia"/>
        </w:rPr>
        <w:t>办公用房电梯系统的综合检查、日常维修保养原则上由使用单位委托有电梯保养资质的第三方机构进行。大中小修由机关事务管理部门委托有电梯安装维修资质的安装单位实施。电梯检测定级时，若已经有资质的检测机构进行了电梯检测，可根据检测机构出具的电梯检测报告直接定级。</w:t>
      </w:r>
    </w:p>
    <w:p>
      <w:pPr>
        <w:pStyle w:val="82"/>
        <w:spacing w:before="156" w:after="156"/>
      </w:pPr>
      <w:bookmarkStart w:id="480" w:name="_Toc2890"/>
      <w:bookmarkStart w:id="481" w:name="_Toc2450"/>
      <w:bookmarkStart w:id="482" w:name="_Toc29105"/>
      <w:bookmarkStart w:id="483" w:name="_Toc29431"/>
      <w:bookmarkStart w:id="484" w:name="_Toc31"/>
      <w:bookmarkStart w:id="485" w:name="_Toc241609835"/>
      <w:bookmarkStart w:id="486" w:name="_Toc2986"/>
      <w:bookmarkStart w:id="487" w:name="_Toc20357"/>
      <w:bookmarkStart w:id="488" w:name="_Toc4209"/>
      <w:bookmarkStart w:id="489" w:name="_Toc241610351"/>
      <w:bookmarkStart w:id="490" w:name="_Toc15514"/>
      <w:bookmarkStart w:id="491" w:name="_Toc21912"/>
      <w:bookmarkStart w:id="492" w:name="_Toc30726"/>
      <w:bookmarkStart w:id="493" w:name="_Toc26482"/>
      <w:bookmarkStart w:id="494" w:name="_Toc955"/>
      <w:bookmarkStart w:id="495" w:name="_Toc26900"/>
      <w:r>
        <w:rPr>
          <w:rFonts w:hint="eastAsia"/>
        </w:rPr>
        <w:t>电梯系统维护维修</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216"/>
      </w:pPr>
      <w:r>
        <w:rPr>
          <w:rFonts w:hint="eastAsia"/>
        </w:rPr>
        <w:t>电梯有</w:t>
      </w:r>
      <w:r>
        <w:t>符合下列条件之一的，应进行</w:t>
      </w:r>
      <w:r>
        <w:rPr>
          <w:rFonts w:hint="eastAsia"/>
        </w:rPr>
        <w:t>大中</w:t>
      </w:r>
      <w:r>
        <w:rPr>
          <w:rFonts w:hint="eastAsia"/>
          <w:strike/>
        </w:rPr>
        <w:t>小</w:t>
      </w:r>
      <w:r>
        <w:rPr>
          <w:rFonts w:hint="eastAsia"/>
        </w:rPr>
        <w:t>修</w:t>
      </w:r>
      <w:r>
        <w:t>：</w:t>
      </w:r>
    </w:p>
    <w:p>
      <w:pPr>
        <w:pStyle w:val="178"/>
        <w:numPr>
          <w:ilvl w:val="0"/>
          <w:numId w:val="96"/>
        </w:numPr>
      </w:pPr>
      <w:r>
        <w:rPr>
          <w:rFonts w:hint="eastAsia"/>
        </w:rPr>
        <w:t>电梯主要性能指标不符合GB 7588的规定，且使用时间已达9年以上的；</w:t>
      </w:r>
    </w:p>
    <w:p>
      <w:pPr>
        <w:pStyle w:val="178"/>
        <w:numPr>
          <w:ilvl w:val="0"/>
          <w:numId w:val="96"/>
        </w:numPr>
      </w:pPr>
      <w:r>
        <w:rPr>
          <w:rFonts w:hint="eastAsia"/>
        </w:rPr>
        <w:t>经过两次以上大中小修（大修），再次修理也不能保证电梯正常使用的；</w:t>
      </w:r>
    </w:p>
    <w:p>
      <w:pPr>
        <w:pStyle w:val="178"/>
        <w:numPr>
          <w:ilvl w:val="0"/>
          <w:numId w:val="0"/>
        </w:numPr>
        <w:ind w:left="425"/>
      </w:pPr>
      <w:r>
        <w:rPr>
          <w:rFonts w:hint="eastAsia"/>
        </w:rPr>
        <w:t xml:space="preserve">    经过两次及以上中修或一次大修后，电梯主要性能仍不符合 GB 7588 规定，或经第三方安全评估认定继续修理无法保障安全运行的。</w:t>
      </w:r>
    </w:p>
    <w:p>
      <w:pPr>
        <w:pStyle w:val="178"/>
        <w:numPr>
          <w:ilvl w:val="0"/>
          <w:numId w:val="96"/>
        </w:numPr>
      </w:pPr>
      <w:r>
        <w:rPr>
          <w:rFonts w:hint="eastAsia"/>
        </w:rPr>
        <w:t>金属部件严重锈蚀、变形或电气设备严重老化、损坏，失去原有功能。</w:t>
      </w:r>
    </w:p>
    <w:p>
      <w:pPr>
        <w:pStyle w:val="216"/>
      </w:pPr>
      <w:r>
        <w:rPr>
          <w:rFonts w:hint="eastAsia"/>
        </w:rPr>
        <w:t>电梯有</w:t>
      </w:r>
      <w:r>
        <w:t>符合下列条件之一的，应</w:t>
      </w:r>
      <w:r>
        <w:rPr>
          <w:rFonts w:hint="eastAsia"/>
        </w:rPr>
        <w:t>由机关事务局等</w:t>
      </w:r>
      <w:r>
        <w:t>部门组织专家论证确定是否适宜进行</w:t>
      </w:r>
      <w:r>
        <w:rPr>
          <w:rFonts w:hint="eastAsia"/>
        </w:rPr>
        <w:t>大中小修</w:t>
      </w:r>
      <w:r>
        <w:t>（电梯更新或整体停用）：</w:t>
      </w:r>
    </w:p>
    <w:p>
      <w:pPr>
        <w:pStyle w:val="178"/>
        <w:numPr>
          <w:ilvl w:val="0"/>
          <w:numId w:val="97"/>
        </w:numPr>
      </w:pPr>
      <w:r>
        <w:rPr>
          <w:rFonts w:hint="eastAsia"/>
        </w:rPr>
        <w:t>电梯某些部件的产品质量或安装质量存在缺陷，故障率较高，不能保证正常使用，无法保证安全运行基本条件的；</w:t>
      </w:r>
    </w:p>
    <w:p>
      <w:pPr>
        <w:pStyle w:val="178"/>
        <w:numPr>
          <w:ilvl w:val="0"/>
          <w:numId w:val="97"/>
        </w:numPr>
      </w:pPr>
      <w:r>
        <w:rPr>
          <w:rFonts w:hint="eastAsia"/>
        </w:rPr>
        <w:t>由于建筑物结构损坏或电梯发生严重事故，导致部分电梯设备损坏的；</w:t>
      </w:r>
    </w:p>
    <w:p>
      <w:pPr>
        <w:pStyle w:val="178"/>
        <w:numPr>
          <w:ilvl w:val="0"/>
          <w:numId w:val="97"/>
        </w:numPr>
      </w:pPr>
      <w:r>
        <w:rPr>
          <w:rFonts w:hint="eastAsia"/>
        </w:rPr>
        <w:t>由于建筑使用功能的变动或增加，在用电梯已不能满足需要的；</w:t>
      </w:r>
    </w:p>
    <w:p>
      <w:pPr>
        <w:pStyle w:val="178"/>
        <w:numPr>
          <w:ilvl w:val="0"/>
          <w:numId w:val="97"/>
        </w:numPr>
      </w:pPr>
      <w:r>
        <w:rPr>
          <w:rFonts w:hint="eastAsia"/>
        </w:rPr>
        <w:t>电梯系统出现部分金属部件锈蚀、变形或电气设备老化、损坏。</w:t>
      </w:r>
    </w:p>
    <w:p>
      <w:pPr>
        <w:pStyle w:val="216"/>
      </w:pPr>
      <w:r>
        <w:rPr>
          <w:rFonts w:hint="eastAsia"/>
        </w:rPr>
        <w:t>电梯系统维修时，出现下列项目的改变，属于改装、改造范畴。</w:t>
      </w:r>
    </w:p>
    <w:p>
      <w:pPr>
        <w:pStyle w:val="178"/>
        <w:numPr>
          <w:ilvl w:val="0"/>
          <w:numId w:val="98"/>
        </w:numPr>
      </w:pPr>
      <w:r>
        <w:rPr>
          <w:rFonts w:hint="eastAsia"/>
        </w:rPr>
        <w:t>改变电梯的额定速度、额定载重量、轿厢质量、轿厢行程4个项目中的一个或几个重要参数的。</w:t>
      </w:r>
    </w:p>
    <w:p>
      <w:pPr>
        <w:pStyle w:val="178"/>
        <w:numPr>
          <w:ilvl w:val="0"/>
          <w:numId w:val="98"/>
        </w:numPr>
      </w:pPr>
      <w:r>
        <w:rPr>
          <w:rFonts w:hint="eastAsia"/>
        </w:rPr>
        <w:t>改变或更换下列一个或几个部件的：</w:t>
      </w:r>
    </w:p>
    <w:p>
      <w:pPr>
        <w:pStyle w:val="113"/>
        <w:numPr>
          <w:ilvl w:val="1"/>
          <w:numId w:val="99"/>
        </w:numPr>
      </w:pPr>
      <w:r>
        <w:t>门锁装置的类型（不包括用同类型的门锁装置更换）</w:t>
      </w:r>
      <w:r>
        <w:rPr>
          <w:rFonts w:hint="eastAsia"/>
        </w:rPr>
        <w:t>；</w:t>
      </w:r>
    </w:p>
    <w:p>
      <w:pPr>
        <w:pStyle w:val="113"/>
        <w:numPr>
          <w:ilvl w:val="1"/>
          <w:numId w:val="99"/>
        </w:numPr>
      </w:pPr>
      <w:r>
        <w:t>控制系统</w:t>
      </w:r>
      <w:r>
        <w:rPr>
          <w:rFonts w:hint="eastAsia"/>
        </w:rPr>
        <w:t>；</w:t>
      </w:r>
    </w:p>
    <w:p>
      <w:pPr>
        <w:pStyle w:val="113"/>
        <w:numPr>
          <w:ilvl w:val="1"/>
          <w:numId w:val="99"/>
        </w:numPr>
      </w:pPr>
      <w:r>
        <w:t>导轨或导轨的类型</w:t>
      </w:r>
      <w:r>
        <w:rPr>
          <w:rFonts w:hint="eastAsia"/>
        </w:rPr>
        <w:t>；</w:t>
      </w:r>
    </w:p>
    <w:p>
      <w:pPr>
        <w:pStyle w:val="113"/>
        <w:numPr>
          <w:ilvl w:val="1"/>
          <w:numId w:val="99"/>
        </w:numPr>
      </w:pPr>
      <w:r>
        <w:t>门的类型（或增加一个或多个层门或轿门）</w:t>
      </w:r>
      <w:r>
        <w:rPr>
          <w:rFonts w:hint="eastAsia"/>
        </w:rPr>
        <w:t>；</w:t>
      </w:r>
    </w:p>
    <w:p>
      <w:pPr>
        <w:pStyle w:val="113"/>
        <w:numPr>
          <w:ilvl w:val="1"/>
          <w:numId w:val="99"/>
        </w:numPr>
      </w:pPr>
      <w:r>
        <w:t>电梯驱动主机或曳引轮</w:t>
      </w:r>
      <w:r>
        <w:rPr>
          <w:rFonts w:hint="eastAsia"/>
        </w:rPr>
        <w:t>；</w:t>
      </w:r>
    </w:p>
    <w:p>
      <w:pPr>
        <w:pStyle w:val="113"/>
        <w:numPr>
          <w:ilvl w:val="1"/>
          <w:numId w:val="99"/>
        </w:numPr>
      </w:pPr>
      <w:r>
        <w:t>限速器</w:t>
      </w:r>
      <w:r>
        <w:rPr>
          <w:rFonts w:hint="eastAsia"/>
        </w:rPr>
        <w:t>；</w:t>
      </w:r>
    </w:p>
    <w:p>
      <w:pPr>
        <w:pStyle w:val="113"/>
        <w:numPr>
          <w:ilvl w:val="1"/>
          <w:numId w:val="99"/>
        </w:numPr>
      </w:pPr>
      <w:r>
        <w:t>缓冲器</w:t>
      </w:r>
      <w:r>
        <w:rPr>
          <w:rFonts w:hint="eastAsia"/>
        </w:rPr>
        <w:t>；</w:t>
      </w:r>
    </w:p>
    <w:p>
      <w:pPr>
        <w:pStyle w:val="113"/>
        <w:numPr>
          <w:ilvl w:val="1"/>
          <w:numId w:val="99"/>
        </w:numPr>
      </w:pPr>
      <w:r>
        <w:t>安全钳装置</w:t>
      </w:r>
      <w:r>
        <w:rPr>
          <w:rFonts w:hint="eastAsia"/>
        </w:rPr>
        <w:t>；</w:t>
      </w:r>
    </w:p>
    <w:p>
      <w:pPr>
        <w:pStyle w:val="113"/>
        <w:numPr>
          <w:ilvl w:val="1"/>
          <w:numId w:val="99"/>
        </w:numPr>
      </w:pPr>
      <w:r>
        <w:t>轿厢上行超速保护装置（如果有）。</w:t>
      </w:r>
    </w:p>
    <w:p>
      <w:pPr>
        <w:pStyle w:val="216"/>
      </w:pPr>
      <w:r>
        <w:rPr>
          <w:rFonts w:hint="eastAsia"/>
        </w:rPr>
        <w:t>电梯</w:t>
      </w:r>
      <w:r>
        <w:t>符合下列条件的，可向权属部门申请报废，进行更新：</w:t>
      </w:r>
    </w:p>
    <w:p>
      <w:pPr>
        <w:pStyle w:val="178"/>
        <w:numPr>
          <w:ilvl w:val="0"/>
          <w:numId w:val="100"/>
        </w:numPr>
      </w:pPr>
      <w:r>
        <w:rPr>
          <w:rFonts w:hint="eastAsia"/>
        </w:rPr>
        <w:t>建筑物内仅装设一部电梯，且使用时间已达15年；</w:t>
      </w:r>
    </w:p>
    <w:p>
      <w:pPr>
        <w:pStyle w:val="178"/>
        <w:numPr>
          <w:ilvl w:val="0"/>
          <w:numId w:val="100"/>
        </w:numPr>
      </w:pPr>
      <w:r>
        <w:rPr>
          <w:rFonts w:hint="eastAsia"/>
        </w:rPr>
        <w:t>电梯主要性能指标（包括耗能指标）已不符合现行国家标准的规定，一般的改装也不能达到要求，且使用时间已逾15年；</w:t>
      </w:r>
    </w:p>
    <w:p>
      <w:pPr>
        <w:pStyle w:val="178"/>
        <w:numPr>
          <w:ilvl w:val="0"/>
          <w:numId w:val="100"/>
        </w:numPr>
      </w:pPr>
      <w:r>
        <w:rPr>
          <w:rFonts w:hint="eastAsia"/>
        </w:rPr>
        <w:t>驱动主机和其他主要配套部件磨损严重，或设备已经过3次以上大修，再次维修的投资费用超过设备拆旧残值。</w:t>
      </w:r>
    </w:p>
    <w:p>
      <w:pPr>
        <w:pStyle w:val="216"/>
      </w:pPr>
      <w:r>
        <w:rPr>
          <w:rFonts w:hint="eastAsia"/>
        </w:rPr>
        <w:t>办公用房电梯</w:t>
      </w:r>
      <w:r>
        <w:t>符合下列条件之一的，应延期报废，但使用年限最长不得超过25年</w:t>
      </w:r>
      <w:r>
        <w:rPr>
          <w:rFonts w:hint="eastAsia"/>
        </w:rPr>
        <w:t>。</w:t>
      </w:r>
    </w:p>
    <w:p>
      <w:pPr>
        <w:pStyle w:val="178"/>
        <w:numPr>
          <w:ilvl w:val="0"/>
          <w:numId w:val="101"/>
        </w:numPr>
      </w:pPr>
      <w:r>
        <w:rPr>
          <w:rFonts w:hint="eastAsia"/>
        </w:rPr>
        <w:t>电梯生产厂家在质量保证书中声明的报废年限超过15年的；</w:t>
      </w:r>
    </w:p>
    <w:p>
      <w:pPr>
        <w:pStyle w:val="178"/>
        <w:numPr>
          <w:ilvl w:val="0"/>
          <w:numId w:val="101"/>
        </w:numPr>
      </w:pPr>
      <w:r>
        <w:rPr>
          <w:rFonts w:hint="eastAsia"/>
        </w:rPr>
        <w:t>对电梯的主要部件（如：拖动系统、控制系统、门系统、安全部件、驱动主机等）进行大中小修（改装）后，经专业检测机构鉴定，其性能指标均符合交付使用时的现行国家标准GB7588及相关国家标准的。</w:t>
      </w:r>
    </w:p>
    <w:p>
      <w:pPr>
        <w:pStyle w:val="216"/>
      </w:pPr>
      <w:r>
        <w:rPr>
          <w:rFonts w:hint="eastAsia"/>
        </w:rPr>
        <w:t>电梯的大中小修</w:t>
      </w:r>
      <w:r>
        <w:t>应根据检查情况，依据现行标准、主要部件的工作参数、判废标准、使用说明书和随机质量保证文件等进行结果判定，制定</w:t>
      </w:r>
      <w:r>
        <w:rPr>
          <w:rFonts w:hint="eastAsia"/>
        </w:rPr>
        <w:t>大中小修</w:t>
      </w:r>
      <w:r>
        <w:t>方案</w:t>
      </w:r>
      <w:r>
        <w:rPr>
          <w:rFonts w:hint="eastAsia"/>
        </w:rPr>
        <w:t>，维修</w:t>
      </w:r>
      <w:r>
        <w:t>方案内容</w:t>
      </w:r>
      <w:r>
        <w:rPr>
          <w:rFonts w:hint="eastAsia"/>
        </w:rPr>
        <w:t>应</w:t>
      </w:r>
      <w:r>
        <w:t>包括：</w:t>
      </w:r>
    </w:p>
    <w:p>
      <w:pPr>
        <w:pStyle w:val="178"/>
        <w:numPr>
          <w:ilvl w:val="0"/>
          <w:numId w:val="102"/>
        </w:numPr>
      </w:pPr>
      <w:r>
        <w:rPr>
          <w:rFonts w:hint="eastAsia"/>
        </w:rPr>
        <w:t>电梯使用环境、使用功能现状描述（至少包括：建筑基本概况、前期检查情况小结，与现行标准、安全要求、使用环境的差距，与电梯设备使用说明书的差距）；</w:t>
      </w:r>
    </w:p>
    <w:p>
      <w:pPr>
        <w:pStyle w:val="178"/>
        <w:numPr>
          <w:ilvl w:val="0"/>
          <w:numId w:val="102"/>
        </w:numPr>
      </w:pPr>
      <w:r>
        <w:rPr>
          <w:rFonts w:hint="eastAsia"/>
        </w:rPr>
        <w:t>基于前一使用期内检查记录与检验结论对典型维修项目的判定结论；</w:t>
      </w:r>
    </w:p>
    <w:p>
      <w:pPr>
        <w:pStyle w:val="178"/>
        <w:numPr>
          <w:ilvl w:val="0"/>
          <w:numId w:val="102"/>
        </w:numPr>
      </w:pPr>
      <w:r>
        <w:rPr>
          <w:rFonts w:hint="eastAsia"/>
        </w:rPr>
        <w:t>对电梯整体性能状况的评结论；</w:t>
      </w:r>
    </w:p>
    <w:p>
      <w:pPr>
        <w:pStyle w:val="178"/>
        <w:numPr>
          <w:ilvl w:val="0"/>
          <w:numId w:val="102"/>
        </w:numPr>
      </w:pPr>
      <w:r>
        <w:rPr>
          <w:rFonts w:hint="eastAsia"/>
        </w:rPr>
        <w:t>改造后所能达到的基本目标与现行标准的符合度说明；</w:t>
      </w:r>
    </w:p>
    <w:p>
      <w:pPr>
        <w:pStyle w:val="178"/>
        <w:numPr>
          <w:ilvl w:val="0"/>
          <w:numId w:val="102"/>
        </w:numPr>
      </w:pPr>
      <w:r>
        <w:rPr>
          <w:rFonts w:hint="eastAsia"/>
        </w:rPr>
        <w:t>维修所采用的具体技术方法及施工工艺可行性方案或说明；</w:t>
      </w:r>
    </w:p>
    <w:p>
      <w:pPr>
        <w:pStyle w:val="178"/>
        <w:numPr>
          <w:ilvl w:val="0"/>
          <w:numId w:val="102"/>
        </w:numPr>
      </w:pPr>
      <w:r>
        <w:rPr>
          <w:rFonts w:hint="eastAsia"/>
        </w:rPr>
        <w:t>人材料机具和备件消耗维修消耗成本说明，需更换的设备、器具、材料以及工程施工周期等；</w:t>
      </w:r>
    </w:p>
    <w:p>
      <w:pPr>
        <w:pStyle w:val="178"/>
        <w:numPr>
          <w:ilvl w:val="0"/>
          <w:numId w:val="102"/>
        </w:numPr>
      </w:pPr>
      <w:r>
        <w:rPr>
          <w:rFonts w:hint="eastAsia"/>
        </w:rPr>
        <w:t>验收标准与依据；</w:t>
      </w:r>
    </w:p>
    <w:p>
      <w:pPr>
        <w:pStyle w:val="178"/>
        <w:numPr>
          <w:ilvl w:val="0"/>
          <w:numId w:val="102"/>
        </w:numPr>
      </w:pPr>
      <w:r>
        <w:rPr>
          <w:rFonts w:hint="eastAsia"/>
        </w:rPr>
        <w:t>验收后的安全检查与交付使用；</w:t>
      </w:r>
    </w:p>
    <w:p>
      <w:pPr>
        <w:pStyle w:val="178"/>
        <w:numPr>
          <w:ilvl w:val="0"/>
          <w:numId w:val="102"/>
        </w:numPr>
      </w:pPr>
      <w:r>
        <w:rPr>
          <w:rFonts w:hint="eastAsia"/>
        </w:rPr>
        <w:t>维修完成后，下一使用区间内维修保养工作衔接等。</w:t>
      </w:r>
    </w:p>
    <w:p>
      <w:pPr>
        <w:pStyle w:val="216"/>
      </w:pPr>
      <w:r>
        <w:rPr>
          <w:rFonts w:hint="eastAsia"/>
        </w:rPr>
        <w:t>符合加装电梯条件的办公用房，加装电梯方案内容至少包括：</w:t>
      </w:r>
    </w:p>
    <w:p>
      <w:pPr>
        <w:pStyle w:val="178"/>
        <w:numPr>
          <w:ilvl w:val="0"/>
          <w:numId w:val="103"/>
        </w:numPr>
      </w:pPr>
      <w:r>
        <w:rPr>
          <w:rFonts w:hint="eastAsia"/>
        </w:rPr>
        <w:t>电梯使用需求（至少包括：建筑基本概况、办公人员数量、外来办事人员数量情况等）；</w:t>
      </w:r>
    </w:p>
    <w:p>
      <w:pPr>
        <w:pStyle w:val="178"/>
        <w:numPr>
          <w:ilvl w:val="0"/>
          <w:numId w:val="103"/>
        </w:numPr>
      </w:pPr>
      <w:r>
        <w:rPr>
          <w:rFonts w:hint="eastAsia"/>
        </w:rPr>
        <w:t>办公建筑原设计图纸、地勘资料和施工备案资料等资料；</w:t>
      </w:r>
    </w:p>
    <w:p>
      <w:pPr>
        <w:pStyle w:val="178"/>
        <w:numPr>
          <w:ilvl w:val="0"/>
          <w:numId w:val="103"/>
        </w:numPr>
      </w:pPr>
      <w:r>
        <w:rPr>
          <w:rFonts w:hint="eastAsia"/>
        </w:rPr>
        <w:t>结构检测报告，特别是加装电梯部位的检测结果和对加装电梯的可行性结论；</w:t>
      </w:r>
    </w:p>
    <w:p>
      <w:pPr>
        <w:pStyle w:val="178"/>
        <w:numPr>
          <w:ilvl w:val="0"/>
          <w:numId w:val="103"/>
        </w:numPr>
      </w:pPr>
      <w:r>
        <w:rPr>
          <w:rFonts w:hint="eastAsia"/>
        </w:rPr>
        <w:t>加装电梯的初步设计方案及说明，包括电梯井道的建筑结构方案和原建筑加固方案，电梯初步选型方案等；</w:t>
      </w:r>
    </w:p>
    <w:p>
      <w:pPr>
        <w:pStyle w:val="178"/>
        <w:numPr>
          <w:ilvl w:val="0"/>
          <w:numId w:val="103"/>
        </w:numPr>
      </w:pPr>
      <w:r>
        <w:rPr>
          <w:rFonts w:hint="eastAsia"/>
        </w:rPr>
        <w:t>维修改造所采用的具体技术方法及施工工艺可行性方案或说明；</w:t>
      </w:r>
    </w:p>
    <w:p>
      <w:pPr>
        <w:pStyle w:val="178"/>
        <w:numPr>
          <w:ilvl w:val="0"/>
          <w:numId w:val="103"/>
        </w:numPr>
      </w:pPr>
      <w:r>
        <w:rPr>
          <w:rFonts w:hint="eastAsia"/>
        </w:rPr>
        <w:t>维修改造总费用概算；</w:t>
      </w:r>
    </w:p>
    <w:p>
      <w:pPr>
        <w:pStyle w:val="178"/>
        <w:numPr>
          <w:ilvl w:val="0"/>
          <w:numId w:val="103"/>
        </w:numPr>
      </w:pPr>
      <w:r>
        <w:rPr>
          <w:rFonts w:hint="eastAsia"/>
        </w:rPr>
        <w:t>其他所需相关资料等。</w:t>
      </w:r>
    </w:p>
    <w:p>
      <w:pPr>
        <w:pStyle w:val="216"/>
      </w:pPr>
      <w:r>
        <w:rPr>
          <w:rFonts w:hint="eastAsia"/>
        </w:rPr>
        <w:t>加装电梯前，由机关事务管理部门会同使用单位</w:t>
      </w:r>
      <w:r>
        <w:t>组织专业人员对</w:t>
      </w:r>
      <w:r>
        <w:rPr>
          <w:rFonts w:hint="eastAsia"/>
        </w:rPr>
        <w:t>维修和加装电梯</w:t>
      </w:r>
      <w:r>
        <w:t>方案的技术可行性和经济合理性进行评</w:t>
      </w:r>
      <w:r>
        <w:rPr>
          <w:rFonts w:hint="eastAsia"/>
        </w:rPr>
        <w:t>审。加装方案评审</w:t>
      </w:r>
      <w:r>
        <w:t>通过后</w:t>
      </w:r>
      <w:r>
        <w:rPr>
          <w:rFonts w:hint="eastAsia"/>
        </w:rPr>
        <w:t>，经过相关程序批复同意后方可</w:t>
      </w:r>
      <w:r>
        <w:t>进行实施</w:t>
      </w:r>
      <w:r>
        <w:rPr>
          <w:rFonts w:hint="eastAsia"/>
        </w:rPr>
        <w:t>。</w:t>
      </w:r>
    </w:p>
    <w:p>
      <w:pPr>
        <w:pStyle w:val="82"/>
        <w:spacing w:before="156" w:after="156"/>
      </w:pPr>
      <w:bookmarkStart w:id="496" w:name="_Toc28409"/>
      <w:bookmarkStart w:id="497" w:name="_Toc15755"/>
      <w:bookmarkStart w:id="498" w:name="_Toc31544"/>
      <w:bookmarkStart w:id="499" w:name="_Toc29892"/>
      <w:bookmarkStart w:id="500" w:name="_Toc19822"/>
      <w:bookmarkStart w:id="501" w:name="_Toc18328"/>
      <w:bookmarkStart w:id="502" w:name="_Toc28216"/>
      <w:bookmarkStart w:id="503" w:name="_Toc31173"/>
      <w:bookmarkStart w:id="504" w:name="_Toc32374"/>
      <w:bookmarkStart w:id="505" w:name="_Toc28666"/>
      <w:bookmarkStart w:id="506" w:name="_Toc26609"/>
      <w:bookmarkStart w:id="507" w:name="_Toc7013"/>
      <w:bookmarkStart w:id="508" w:name="_Toc5544"/>
      <w:bookmarkStart w:id="509" w:name="_Toc1670"/>
      <w:bookmarkStart w:id="510" w:name="_Toc241609836"/>
      <w:bookmarkStart w:id="511" w:name="_Toc241610352"/>
      <w:r>
        <w:rPr>
          <w:rFonts w:hint="eastAsia"/>
        </w:rPr>
        <w:t>电梯系统维修验收</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216"/>
      </w:pPr>
      <w:r>
        <w:rPr>
          <w:rFonts w:hint="eastAsia"/>
        </w:rPr>
        <w:t>电梯大中小修</w:t>
      </w:r>
      <w:r>
        <w:t>完成后，电梯应按</w:t>
      </w:r>
      <w:r>
        <w:rPr>
          <w:rFonts w:hint="eastAsia"/>
        </w:rPr>
        <w:t xml:space="preserve">GB </w:t>
      </w:r>
      <w:r>
        <w:t>7588的要求重新进行安全检查。</w:t>
      </w:r>
    </w:p>
    <w:p>
      <w:pPr>
        <w:pStyle w:val="216"/>
      </w:pPr>
      <w:r>
        <w:t>电梯更新工程验收应按</w:t>
      </w:r>
      <w:r>
        <w:rPr>
          <w:rFonts w:hint="eastAsia"/>
        </w:rPr>
        <w:t xml:space="preserve">GB </w:t>
      </w:r>
      <w:r>
        <w:t>50310的有关规定</w:t>
      </w:r>
      <w:r>
        <w:rPr>
          <w:rFonts w:hint="eastAsia"/>
        </w:rPr>
        <w:t>。</w:t>
      </w:r>
    </w:p>
    <w:p>
      <w:pPr>
        <w:pStyle w:val="216"/>
      </w:pPr>
      <w:r>
        <w:rPr>
          <w:rFonts w:hint="eastAsia"/>
        </w:rPr>
        <w:t>电梯维修</w:t>
      </w:r>
      <w:r>
        <w:t>除应执行遵守电梯设备随机手册和设备使用说明书中有关检查维修的基本规定外，还符合</w:t>
      </w:r>
      <w:r>
        <w:rPr>
          <w:rFonts w:hint="eastAsia"/>
        </w:rPr>
        <w:t>相关</w:t>
      </w:r>
      <w:r>
        <w:t>标准</w:t>
      </w:r>
      <w:r>
        <w:rPr>
          <w:rFonts w:hint="eastAsia"/>
        </w:rPr>
        <w:t>的</w:t>
      </w:r>
      <w:r>
        <w:t>规定</w:t>
      </w:r>
      <w:r>
        <w:rPr>
          <w:rFonts w:hint="eastAsia"/>
        </w:rPr>
        <w:t>，包括GB</w:t>
      </w:r>
      <w:r>
        <w:t xml:space="preserve"> 7588</w:t>
      </w:r>
      <w:r>
        <w:rPr>
          <w:rFonts w:hint="eastAsia"/>
        </w:rPr>
        <w:t>、GB</w:t>
      </w:r>
      <w:r>
        <w:t xml:space="preserve"> 21240</w:t>
      </w:r>
      <w:r>
        <w:rPr>
          <w:rFonts w:hint="eastAsia"/>
        </w:rPr>
        <w:t>、GB</w:t>
      </w:r>
      <w:r>
        <w:t xml:space="preserve"> 50310</w:t>
      </w:r>
      <w:r>
        <w:rPr>
          <w:rFonts w:hint="eastAsia"/>
        </w:rPr>
        <w:t>、GB</w:t>
      </w:r>
      <w:r>
        <w:t>/T 10058</w:t>
      </w:r>
      <w:r>
        <w:rPr>
          <w:rFonts w:hint="eastAsia"/>
        </w:rPr>
        <w:t>、GB</w:t>
      </w:r>
      <w:r>
        <w:t>/T 10059</w:t>
      </w:r>
      <w:r>
        <w:rPr>
          <w:rFonts w:hint="eastAsia"/>
        </w:rPr>
        <w:t>、GB</w:t>
      </w:r>
      <w:r>
        <w:t>/T 10060</w:t>
      </w:r>
      <w:r>
        <w:rPr>
          <w:rFonts w:hint="eastAsia"/>
        </w:rPr>
        <w:t>、GB</w:t>
      </w:r>
      <w:r>
        <w:t>/T 18755</w:t>
      </w:r>
      <w:r>
        <w:rPr>
          <w:rFonts w:hint="eastAsia"/>
        </w:rPr>
        <w:t>、GB</w:t>
      </w:r>
      <w:r>
        <w:t>/T 20900</w:t>
      </w:r>
      <w:r>
        <w:rPr>
          <w:rFonts w:hint="eastAsia"/>
        </w:rPr>
        <w:t>、GB</w:t>
      </w:r>
      <w:r>
        <w:t>/T 24474</w:t>
      </w:r>
      <w:r>
        <w:rPr>
          <w:rFonts w:hint="eastAsia"/>
        </w:rPr>
        <w:t>、GB</w:t>
      </w:r>
      <w:r>
        <w:t>/T 2447</w:t>
      </w:r>
      <w:r>
        <w:rPr>
          <w:rFonts w:hint="eastAsia"/>
        </w:rPr>
        <w:t>、GB</w:t>
      </w:r>
      <w:r>
        <w:t>/T 24476</w:t>
      </w:r>
      <w:r>
        <w:rPr>
          <w:rFonts w:hint="eastAsia"/>
        </w:rPr>
        <w:t>、GB</w:t>
      </w:r>
      <w:r>
        <w:t>/T 24477</w:t>
      </w:r>
      <w:r>
        <w:rPr>
          <w:rFonts w:hint="eastAsia"/>
        </w:rPr>
        <w:t>、GB</w:t>
      </w:r>
      <w:r>
        <w:t>/T 24804</w:t>
      </w:r>
      <w:r>
        <w:rPr>
          <w:rFonts w:hint="eastAsia"/>
        </w:rPr>
        <w:t>、GB</w:t>
      </w:r>
      <w:r>
        <w:t>/T 24805</w:t>
      </w:r>
      <w:r>
        <w:rPr>
          <w:rFonts w:hint="eastAsia"/>
        </w:rPr>
        <w:t>、GB</w:t>
      </w:r>
      <w:r>
        <w:t>/T 25194</w:t>
      </w:r>
      <w:r>
        <w:rPr>
          <w:rFonts w:hint="eastAsia"/>
        </w:rPr>
        <w:t>、GB</w:t>
      </w:r>
      <w:r>
        <w:t>/T 25856</w:t>
      </w:r>
      <w:r>
        <w:rPr>
          <w:rFonts w:hint="eastAsia"/>
        </w:rPr>
        <w:t>、GB</w:t>
      </w:r>
      <w:r>
        <w:t>/T 26465</w:t>
      </w:r>
      <w:r>
        <w:rPr>
          <w:rFonts w:hint="eastAsia"/>
        </w:rPr>
        <w:t>、GB</w:t>
      </w:r>
      <w:r>
        <w:t>/T 28621</w:t>
      </w:r>
      <w:r>
        <w:rPr>
          <w:rFonts w:hint="eastAsia"/>
        </w:rPr>
        <w:t>等。</w:t>
      </w:r>
    </w:p>
    <w:p>
      <w:pPr>
        <w:pStyle w:val="60"/>
        <w:ind w:firstLine="420"/>
      </w:pPr>
    </w:p>
    <w:p>
      <w:pPr>
        <w:pStyle w:val="60"/>
        <w:ind w:firstLine="420"/>
      </w:pPr>
    </w:p>
    <w:p>
      <w:pPr>
        <w:pStyle w:val="60"/>
        <w:ind w:firstLine="420"/>
      </w:pPr>
    </w:p>
    <w:p>
      <w:pPr>
        <w:pStyle w:val="60"/>
        <w:ind w:firstLine="420"/>
        <w:sectPr>
          <w:pgSz w:w="11906" w:h="16838"/>
          <w:pgMar w:top="1928" w:right="1134" w:bottom="1134" w:left="1134" w:header="1418" w:footer="1134" w:gutter="284"/>
          <w:cols w:space="425" w:num="1"/>
          <w:formProt w:val="0"/>
          <w:docGrid w:type="lines" w:linePitch="312" w:charSpace="0"/>
        </w:sectPr>
      </w:pPr>
    </w:p>
    <w:p>
      <w:pPr>
        <w:pStyle w:val="202"/>
        <w:rPr>
          <w:rFonts w:hint="eastAsia"/>
        </w:rPr>
      </w:pPr>
    </w:p>
    <w:p>
      <w:pPr>
        <w:pStyle w:val="203"/>
      </w:pPr>
    </w:p>
    <w:p>
      <w:pPr>
        <w:pStyle w:val="80"/>
        <w:spacing w:before="78" w:after="156"/>
      </w:pPr>
      <w:bookmarkStart w:id="512" w:name="_Toc16197"/>
      <w:r>
        <w:rPr>
          <w:rFonts w:hint="eastAsia"/>
        </w:rPr>
        <w:br w:type="textWrapping"/>
      </w:r>
      <w:bookmarkStart w:id="513" w:name="_Toc241609837"/>
      <w:bookmarkStart w:id="514" w:name="_Toc241610353"/>
      <w:r>
        <w:rPr>
          <w:rFonts w:hint="eastAsia"/>
        </w:rPr>
        <w:t>（规范性）</w:t>
      </w:r>
      <w:r>
        <w:rPr>
          <w:rFonts w:hint="eastAsia"/>
        </w:rPr>
        <w:br w:type="textWrapping"/>
      </w:r>
      <w:r>
        <w:rPr>
          <w:rFonts w:hint="eastAsia"/>
        </w:rPr>
        <w:t>消防系统检查、维修与验收技术要求</w:t>
      </w:r>
      <w:bookmarkEnd w:id="512"/>
      <w:bookmarkEnd w:id="513"/>
      <w:bookmarkEnd w:id="514"/>
    </w:p>
    <w:p>
      <w:pPr>
        <w:pStyle w:val="82"/>
        <w:spacing w:before="156" w:after="156"/>
      </w:pPr>
      <w:bookmarkStart w:id="515" w:name="_Toc7436"/>
      <w:bookmarkStart w:id="516" w:name="_Toc4189"/>
      <w:bookmarkStart w:id="517" w:name="_Toc17372"/>
      <w:bookmarkStart w:id="518" w:name="_Toc15372"/>
      <w:bookmarkStart w:id="519" w:name="_Toc25988"/>
      <w:bookmarkStart w:id="520" w:name="_Toc14406"/>
      <w:bookmarkStart w:id="521" w:name="_Toc11197"/>
      <w:bookmarkStart w:id="522" w:name="_Toc12375"/>
      <w:bookmarkStart w:id="523" w:name="_Toc7957"/>
      <w:bookmarkStart w:id="524" w:name="_Toc22098"/>
      <w:bookmarkStart w:id="525" w:name="_Toc614"/>
      <w:bookmarkStart w:id="526" w:name="_Toc241609838"/>
      <w:bookmarkStart w:id="527" w:name="_Toc5029"/>
      <w:bookmarkStart w:id="528" w:name="_Toc241610354"/>
      <w:bookmarkStart w:id="529" w:name="_Toc27770"/>
      <w:bookmarkStart w:id="530" w:name="_Toc25048"/>
      <w:r>
        <w:rPr>
          <w:rFonts w:hint="eastAsia"/>
        </w:rPr>
        <w:t>一般规定与检查</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216"/>
      </w:pPr>
      <w:r>
        <w:rPr>
          <w:rFonts w:hint="eastAsia"/>
        </w:rPr>
        <w:t>消防系统主要包括：</w:t>
      </w:r>
      <w:r>
        <w:t>火灾自动报警系统、火灾应急照明和疏散指示标志、水灭火系统、气体灭火系统、防排烟系统、防火门与防火卷帘等子系统</w:t>
      </w:r>
      <w:r>
        <w:rPr>
          <w:rFonts w:hint="eastAsia"/>
        </w:rPr>
        <w:t>。本标准</w:t>
      </w:r>
      <w:r>
        <w:t>适用于办公用房内既有</w:t>
      </w:r>
      <w:r>
        <w:rPr>
          <w:rFonts w:hint="eastAsia"/>
        </w:rPr>
        <w:t>的</w:t>
      </w:r>
      <w:r>
        <w:t>消防系统的检查评定与维修。</w:t>
      </w:r>
    </w:p>
    <w:p>
      <w:pPr>
        <w:pStyle w:val="216"/>
      </w:pPr>
      <w:r>
        <w:t>消防</w:t>
      </w:r>
      <w:r>
        <w:rPr>
          <w:rFonts w:hint="eastAsia"/>
        </w:rPr>
        <w:t>子</w:t>
      </w:r>
      <w:r>
        <w:t>系统的使用年限</w:t>
      </w:r>
      <w:r>
        <w:rPr>
          <w:rFonts w:hint="eastAsia"/>
        </w:rPr>
        <w:t>有相应规范标准规定的，按标准执行（如气体灭火系统）。没有规定年限的</w:t>
      </w:r>
      <w:r>
        <w:t>不应大于15年。</w:t>
      </w:r>
    </w:p>
    <w:p>
      <w:pPr>
        <w:pStyle w:val="216"/>
      </w:pPr>
      <w:r>
        <w:rPr>
          <w:rFonts w:hint="eastAsia"/>
        </w:rPr>
        <w:t>消防系统的检查评定应由使用单位负责委托有消防许可的机构进行。</w:t>
      </w:r>
      <w:r>
        <w:t>检查评定机构应具备国家认证认可监督管理委员会授予的授权证书和计量认证证书及其授权的中国合格评定国家认可委员会授予的实验室认可证书</w:t>
      </w:r>
      <w:r>
        <w:rPr>
          <w:rFonts w:hint="eastAsia"/>
        </w:rPr>
        <w:t>。且</w:t>
      </w:r>
      <w:r>
        <w:t>授权证书、计量认证证书和实验室认可证书附件</w:t>
      </w:r>
      <w:r>
        <w:rPr>
          <w:rFonts w:hint="eastAsia"/>
        </w:rPr>
        <w:t>内</w:t>
      </w:r>
      <w:r>
        <w:t>所列授权能力范围均应涵盖消防设施领域。</w:t>
      </w:r>
    </w:p>
    <w:p>
      <w:pPr>
        <w:pStyle w:val="216"/>
      </w:pPr>
      <w:r>
        <w:rPr>
          <w:rFonts w:hint="eastAsia"/>
        </w:rPr>
        <w:t>消防检查分日常检查和综合检查。</w:t>
      </w:r>
      <w:r>
        <w:t>综合检查包括消防各子系统功能类的全部内容</w:t>
      </w:r>
      <w:r>
        <w:rPr>
          <w:rFonts w:hint="eastAsia"/>
        </w:rPr>
        <w:t>，</w:t>
      </w:r>
      <w:r>
        <w:t>检查与评定按照本标准电气系统、给水排水系统、通风与空调系统</w:t>
      </w:r>
      <w:r>
        <w:rPr>
          <w:rFonts w:hint="eastAsia"/>
        </w:rPr>
        <w:t>相关</w:t>
      </w:r>
      <w:r>
        <w:t>检查项目的具体规定执行</w:t>
      </w:r>
      <w:r>
        <w:rPr>
          <w:rFonts w:hint="eastAsia"/>
        </w:rPr>
        <w:t>。日常检查项目按下列内容：</w:t>
      </w:r>
    </w:p>
    <w:p>
      <w:pPr>
        <w:pStyle w:val="178"/>
        <w:numPr>
          <w:ilvl w:val="0"/>
          <w:numId w:val="104"/>
        </w:numPr>
      </w:pPr>
      <w:r>
        <w:rPr>
          <w:rFonts w:hint="eastAsia"/>
        </w:rPr>
        <w:t>各子系统末端设备的设置位置，保护面积，安装牢固程度；</w:t>
      </w:r>
    </w:p>
    <w:p>
      <w:pPr>
        <w:pStyle w:val="178"/>
        <w:numPr>
          <w:ilvl w:val="0"/>
          <w:numId w:val="104"/>
        </w:numPr>
      </w:pPr>
      <w:r>
        <w:rPr>
          <w:rFonts w:hint="eastAsia"/>
        </w:rPr>
        <w:t>消防自动报警子系统：火灾探测器的报警功能；报警控制器的消音，复位，火灾报警，故障报警，火警优先功能；</w:t>
      </w:r>
    </w:p>
    <w:p>
      <w:pPr>
        <w:pStyle w:val="178"/>
        <w:numPr>
          <w:ilvl w:val="0"/>
          <w:numId w:val="104"/>
        </w:numPr>
      </w:pPr>
      <w:r>
        <w:rPr>
          <w:rFonts w:hint="eastAsia"/>
        </w:rPr>
        <w:t>消防电气子系统：消防电源的自动互投功能；</w:t>
      </w:r>
    </w:p>
    <w:p>
      <w:pPr>
        <w:pStyle w:val="178"/>
        <w:numPr>
          <w:ilvl w:val="0"/>
          <w:numId w:val="104"/>
        </w:numPr>
      </w:pPr>
      <w:r>
        <w:rPr>
          <w:rFonts w:hint="eastAsia"/>
        </w:rPr>
        <w:t>消防水灭火子系统：消防水泵的现场启停功能；中控室远程控制启停功能；消防水泵主备电源的自动互投，主备泵自动切换功能；供水管道的密封性；各类阀门的状态与可靠性；</w:t>
      </w:r>
    </w:p>
    <w:p>
      <w:pPr>
        <w:pStyle w:val="178"/>
        <w:numPr>
          <w:ilvl w:val="0"/>
          <w:numId w:val="104"/>
        </w:numPr>
      </w:pPr>
      <w:r>
        <w:rPr>
          <w:rFonts w:hint="eastAsia"/>
        </w:rPr>
        <w:t>气体灭火系统：气体灭火系统灭火剂储存容器的充装压力与充装重量；</w:t>
      </w:r>
    </w:p>
    <w:p>
      <w:pPr>
        <w:pStyle w:val="178"/>
        <w:numPr>
          <w:ilvl w:val="0"/>
          <w:numId w:val="104"/>
        </w:numPr>
      </w:pPr>
      <w:r>
        <w:rPr>
          <w:rFonts w:hint="eastAsia"/>
        </w:rPr>
        <w:t>消防防排烟子系统：机械加压送风、机械排烟风机的现场启停功能，中控室远程启停功能；机械加压送风口、机械排烟风口的启闭功能；</w:t>
      </w:r>
    </w:p>
    <w:p>
      <w:pPr>
        <w:pStyle w:val="178"/>
        <w:numPr>
          <w:ilvl w:val="0"/>
          <w:numId w:val="104"/>
        </w:numPr>
      </w:pPr>
      <w:r>
        <w:rPr>
          <w:rFonts w:hint="eastAsia"/>
        </w:rPr>
        <w:t>应急照明和疏散指示：检查应急照明的火灾联动转换时间；疏散指示标志的指示方向与标识是否合理；</w:t>
      </w:r>
    </w:p>
    <w:p>
      <w:pPr>
        <w:pStyle w:val="178"/>
        <w:numPr>
          <w:ilvl w:val="0"/>
          <w:numId w:val="104"/>
        </w:numPr>
      </w:pPr>
      <w:r>
        <w:rPr>
          <w:rFonts w:hint="eastAsia"/>
        </w:rPr>
        <w:t>防火门与防火卷帘：防火门自动关闭与顺序关闭功能；防火卷帘的现场控制功能，中控室远程控制功能。</w:t>
      </w:r>
    </w:p>
    <w:p>
      <w:pPr>
        <w:pStyle w:val="216"/>
      </w:pPr>
      <w:r>
        <w:rPr>
          <w:rFonts w:hint="eastAsia"/>
        </w:rPr>
        <w:t>办公用房</w:t>
      </w:r>
      <w:r>
        <w:t>消防系统</w:t>
      </w:r>
      <w:r>
        <w:rPr>
          <w:rFonts w:hint="eastAsia"/>
        </w:rPr>
        <w:t>有</w:t>
      </w:r>
      <w:r>
        <w:t>符合下列情况之一时，应及时组织进行检查评定</w:t>
      </w:r>
      <w:r>
        <w:rPr>
          <w:rFonts w:hint="eastAsia"/>
        </w:rPr>
        <w:t>：</w:t>
      </w:r>
    </w:p>
    <w:p>
      <w:pPr>
        <w:pStyle w:val="178"/>
        <w:numPr>
          <w:ilvl w:val="0"/>
          <w:numId w:val="105"/>
        </w:numPr>
      </w:pPr>
      <w:r>
        <w:rPr>
          <w:rFonts w:hint="eastAsia"/>
        </w:rPr>
        <w:t>消防系统接近使用寿命而需继续使用时；</w:t>
      </w:r>
    </w:p>
    <w:p>
      <w:pPr>
        <w:pStyle w:val="178"/>
        <w:numPr>
          <w:ilvl w:val="0"/>
          <w:numId w:val="105"/>
        </w:numPr>
      </w:pPr>
      <w:r>
        <w:rPr>
          <w:rFonts w:hint="eastAsia"/>
        </w:rPr>
        <w:t>消防系统某一子系统需进行改造时；</w:t>
      </w:r>
    </w:p>
    <w:p>
      <w:pPr>
        <w:pStyle w:val="178"/>
        <w:numPr>
          <w:ilvl w:val="0"/>
          <w:numId w:val="105"/>
        </w:numPr>
      </w:pPr>
      <w:r>
        <w:rPr>
          <w:rFonts w:hint="eastAsia"/>
        </w:rPr>
        <w:t>因建筑改造，需要对消防系统性能、功能进行重新评估时；</w:t>
      </w:r>
    </w:p>
    <w:p>
      <w:pPr>
        <w:pStyle w:val="178"/>
        <w:numPr>
          <w:ilvl w:val="0"/>
          <w:numId w:val="105"/>
        </w:numPr>
      </w:pPr>
      <w:r>
        <w:rPr>
          <w:rFonts w:hint="eastAsia"/>
        </w:rPr>
        <w:t>消防系统发生事故，需进行功能修复时；</w:t>
      </w:r>
    </w:p>
    <w:p>
      <w:pPr>
        <w:pStyle w:val="178"/>
        <w:numPr>
          <w:ilvl w:val="0"/>
          <w:numId w:val="105"/>
        </w:numPr>
      </w:pPr>
      <w:r>
        <w:rPr>
          <w:rFonts w:hint="eastAsia"/>
        </w:rPr>
        <w:t>其他需要对消防系统进行质量评定的情况。</w:t>
      </w:r>
    </w:p>
    <w:p>
      <w:pPr>
        <w:pStyle w:val="216"/>
      </w:pPr>
      <w:r>
        <w:t>消防系统的检查评定内容分为功能类、安全类两类</w:t>
      </w:r>
      <w:r>
        <w:rPr>
          <w:rFonts w:hint="eastAsia"/>
        </w:rPr>
        <w:t>，应由有资质的专业机构，按照国家现行规范要求对消防各子系统进行功能检查和安全检查，并出具评定报告。</w:t>
      </w:r>
    </w:p>
    <w:p>
      <w:pPr>
        <w:pStyle w:val="82"/>
        <w:spacing w:before="156" w:after="156"/>
      </w:pPr>
      <w:bookmarkStart w:id="531" w:name="_Toc241610355"/>
      <w:bookmarkStart w:id="532" w:name="_Toc4590"/>
      <w:bookmarkStart w:id="533" w:name="_Toc25352"/>
      <w:bookmarkStart w:id="534" w:name="_Toc29619"/>
      <w:bookmarkStart w:id="535" w:name="_Toc23608"/>
      <w:bookmarkStart w:id="536" w:name="_Toc8152"/>
      <w:bookmarkStart w:id="537" w:name="_Toc8092"/>
      <w:bookmarkStart w:id="538" w:name="_Toc24144"/>
      <w:bookmarkStart w:id="539" w:name="_Toc23233"/>
      <w:bookmarkStart w:id="540" w:name="_Toc3411"/>
      <w:bookmarkStart w:id="541" w:name="_Toc15041"/>
      <w:bookmarkStart w:id="542" w:name="_Toc27718"/>
      <w:bookmarkStart w:id="543" w:name="_Toc16875"/>
      <w:bookmarkStart w:id="544" w:name="_Toc241609839"/>
      <w:bookmarkStart w:id="545" w:name="_Toc3661"/>
      <w:bookmarkStart w:id="546" w:name="_Toc18939"/>
      <w:r>
        <w:rPr>
          <w:rFonts w:hint="eastAsia"/>
        </w:rPr>
        <w:t>消防系统维修与验收</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216"/>
      </w:pPr>
      <w:r>
        <w:rPr>
          <w:rFonts w:hint="eastAsia"/>
        </w:rPr>
        <w:t>消防系统常见维修项目主要出现在消防水灭火系统、消防自动报警系统和气体灭火系统，具体如下：</w:t>
      </w:r>
    </w:p>
    <w:p>
      <w:pPr>
        <w:pStyle w:val="178"/>
        <w:numPr>
          <w:ilvl w:val="0"/>
          <w:numId w:val="106"/>
        </w:numPr>
      </w:pPr>
      <w:r>
        <w:rPr>
          <w:rFonts w:hint="eastAsia"/>
        </w:rPr>
        <w:t>消防水灭火子系统：消防水泵、喷淋稳压泵不动作；喷淋头损坏；消防管道和阀门渗、漏水；</w:t>
      </w:r>
    </w:p>
    <w:p>
      <w:pPr>
        <w:pStyle w:val="178"/>
        <w:numPr>
          <w:ilvl w:val="0"/>
          <w:numId w:val="106"/>
        </w:numPr>
      </w:pPr>
      <w:r>
        <w:rPr>
          <w:rFonts w:hint="eastAsia"/>
        </w:rPr>
        <w:t>消防自动报警子系统：火灾探测器（如烟感器、温感器）的报警功能缺失；报警控制器损坏；报警系统线路短、断路；控制柜达到使用年限，零配件缺失；</w:t>
      </w:r>
    </w:p>
    <w:p>
      <w:pPr>
        <w:pStyle w:val="178"/>
        <w:numPr>
          <w:ilvl w:val="0"/>
          <w:numId w:val="106"/>
        </w:numPr>
      </w:pPr>
      <w:r>
        <w:rPr>
          <w:rFonts w:hint="eastAsia"/>
        </w:rPr>
        <w:t>气体灭火子系统：原气体灭火系统已淘汰；保护范围不满足当前需要。</w:t>
      </w:r>
    </w:p>
    <w:p>
      <w:pPr>
        <w:pStyle w:val="216"/>
      </w:pPr>
      <w:r>
        <w:rPr>
          <w:rFonts w:hint="eastAsia"/>
        </w:rPr>
        <w:t>办公用房</w:t>
      </w:r>
      <w:r>
        <w:t>消防系统的维修分为日常维修和</w:t>
      </w:r>
      <w:r>
        <w:rPr>
          <w:rFonts w:hint="eastAsia"/>
        </w:rPr>
        <w:t>大中小修，具体如下：</w:t>
      </w:r>
    </w:p>
    <w:p>
      <w:pPr>
        <w:pStyle w:val="178"/>
        <w:numPr>
          <w:ilvl w:val="0"/>
          <w:numId w:val="107"/>
        </w:numPr>
      </w:pPr>
      <w:r>
        <w:rPr>
          <w:rFonts w:hint="eastAsia"/>
        </w:rPr>
        <w:t>当各子系统中的单个检查项目评定为不合格时，应及时予以修复。仅对各子系统中单个检查项目的修复属于日常维修；</w:t>
      </w:r>
    </w:p>
    <w:p>
      <w:pPr>
        <w:pStyle w:val="178"/>
        <w:numPr>
          <w:ilvl w:val="0"/>
          <w:numId w:val="107"/>
        </w:numPr>
      </w:pPr>
      <w:r>
        <w:rPr>
          <w:rFonts w:hint="eastAsia"/>
        </w:rPr>
        <w:t>当对下列各子系统的全部检查项目进行集中检查，结果评定为Ｂ级的检查项目大于或等于40%时，应对该子系统进行整体改造，属于大中小修。</w:t>
      </w:r>
    </w:p>
    <w:p>
      <w:pPr>
        <w:pStyle w:val="216"/>
      </w:pPr>
      <w:r>
        <w:rPr>
          <w:rFonts w:hint="eastAsia"/>
        </w:rPr>
        <w:t>消防系统大中小修</w:t>
      </w:r>
      <w:r>
        <w:t>中的整体改造应满足现行国家相关标准的要求。应依据国家现行有关标准的规定编制</w:t>
      </w:r>
      <w:r>
        <w:rPr>
          <w:rFonts w:hint="eastAsia"/>
        </w:rPr>
        <w:t>维修修</w:t>
      </w:r>
      <w:r>
        <w:t>方案。</w:t>
      </w:r>
      <w:r>
        <w:rPr>
          <w:rFonts w:hint="eastAsia"/>
        </w:rPr>
        <w:t>维修</w:t>
      </w:r>
      <w:r>
        <w:t>方案</w:t>
      </w:r>
      <w:r>
        <w:rPr>
          <w:rFonts w:hint="eastAsia"/>
        </w:rPr>
        <w:t>内容</w:t>
      </w:r>
      <w:r>
        <w:t>应包括：</w:t>
      </w:r>
    </w:p>
    <w:p>
      <w:pPr>
        <w:pStyle w:val="178"/>
        <w:numPr>
          <w:ilvl w:val="0"/>
          <w:numId w:val="108"/>
        </w:numPr>
      </w:pPr>
      <w:r>
        <w:rPr>
          <w:rFonts w:hint="eastAsia"/>
        </w:rPr>
        <w:t>办公用房基本概况，包括建筑面积、建筑年代、建筑高度以及平面布置；</w:t>
      </w:r>
    </w:p>
    <w:p>
      <w:pPr>
        <w:pStyle w:val="178"/>
        <w:numPr>
          <w:ilvl w:val="0"/>
          <w:numId w:val="108"/>
        </w:numPr>
      </w:pPr>
      <w:r>
        <w:rPr>
          <w:rFonts w:hint="eastAsia"/>
        </w:rPr>
        <w:t>消防系统现状描述，包括各消防子系统的系统型式，设计年限、执行规范的版本，主要设备的规格型号、数量、运行状态，维护保养状况说明等；</w:t>
      </w:r>
    </w:p>
    <w:p>
      <w:pPr>
        <w:pStyle w:val="178"/>
        <w:numPr>
          <w:ilvl w:val="0"/>
          <w:numId w:val="108"/>
        </w:numPr>
      </w:pPr>
      <w:r>
        <w:rPr>
          <w:rFonts w:hint="eastAsia"/>
        </w:rPr>
        <w:t>消防系统大中小修的可行性报告；</w:t>
      </w:r>
    </w:p>
    <w:p>
      <w:pPr>
        <w:pStyle w:val="178"/>
        <w:numPr>
          <w:ilvl w:val="0"/>
          <w:numId w:val="108"/>
        </w:numPr>
      </w:pPr>
      <w:r>
        <w:rPr>
          <w:rFonts w:hint="eastAsia"/>
        </w:rPr>
        <w:t>消防系统维修技术方案，包括维修内容与依据、实施技术方案、设备材料汇总表以及进度计划等。</w:t>
      </w:r>
    </w:p>
    <w:p>
      <w:pPr>
        <w:pStyle w:val="60"/>
        <w:ind w:firstLine="0" w:firstLineChars="0"/>
      </w:pPr>
    </w:p>
    <w:p>
      <w:pPr>
        <w:pStyle w:val="60"/>
        <w:ind w:firstLine="420"/>
      </w:pPr>
    </w:p>
    <w:p>
      <w:pPr>
        <w:pStyle w:val="60"/>
        <w:ind w:firstLine="420"/>
      </w:pPr>
    </w:p>
    <w:p>
      <w:pPr>
        <w:pStyle w:val="60"/>
        <w:ind w:firstLine="420"/>
      </w:pPr>
    </w:p>
    <w:p>
      <w:pPr>
        <w:pStyle w:val="60"/>
        <w:ind w:firstLine="420"/>
        <w:sectPr>
          <w:pgSz w:w="11906" w:h="16838"/>
          <w:pgMar w:top="1928" w:right="1134" w:bottom="1134" w:left="1134" w:header="1418" w:footer="1134" w:gutter="284"/>
          <w:cols w:space="425" w:num="1"/>
          <w:formProt w:val="0"/>
          <w:docGrid w:type="lines" w:linePitch="312" w:charSpace="0"/>
        </w:sectPr>
      </w:pPr>
    </w:p>
    <w:p>
      <w:pPr>
        <w:pStyle w:val="202"/>
        <w:rPr>
          <w:rFonts w:hint="eastAsia"/>
        </w:rPr>
      </w:pPr>
    </w:p>
    <w:p>
      <w:pPr>
        <w:pStyle w:val="203"/>
      </w:pPr>
    </w:p>
    <w:p>
      <w:pPr>
        <w:pStyle w:val="80"/>
        <w:spacing w:before="78" w:after="156"/>
      </w:pPr>
      <w:bookmarkStart w:id="547" w:name="_Toc26565"/>
      <w:r>
        <w:rPr>
          <w:rFonts w:hint="eastAsia"/>
        </w:rPr>
        <w:br w:type="textWrapping"/>
      </w:r>
      <w:bookmarkStart w:id="548" w:name="_Toc241609840"/>
      <w:bookmarkStart w:id="549" w:name="_Toc241610356"/>
      <w:r>
        <w:rPr>
          <w:rFonts w:hint="eastAsia"/>
        </w:rPr>
        <w:t>（规范性）</w:t>
      </w:r>
      <w:r>
        <w:rPr>
          <w:rFonts w:hint="eastAsia"/>
        </w:rPr>
        <w:br w:type="textWrapping"/>
      </w:r>
      <w:r>
        <w:rPr>
          <w:rFonts w:hint="eastAsia"/>
        </w:rPr>
        <w:t>建筑智能化系统检查、维修与验收技术要求</w:t>
      </w:r>
      <w:bookmarkEnd w:id="547"/>
      <w:bookmarkEnd w:id="548"/>
      <w:bookmarkEnd w:id="549"/>
    </w:p>
    <w:p>
      <w:pPr>
        <w:pStyle w:val="82"/>
        <w:spacing w:before="156" w:after="156"/>
      </w:pPr>
      <w:bookmarkStart w:id="550" w:name="_Toc241610357"/>
      <w:bookmarkStart w:id="551" w:name="_Toc7940"/>
      <w:bookmarkStart w:id="552" w:name="_Toc13526"/>
      <w:bookmarkStart w:id="553" w:name="_Toc26578"/>
      <w:bookmarkStart w:id="554" w:name="_Toc10559"/>
      <w:bookmarkStart w:id="555" w:name="_Toc27481"/>
      <w:bookmarkStart w:id="556" w:name="_Toc17727"/>
      <w:bookmarkStart w:id="557" w:name="_Toc6098"/>
      <w:bookmarkStart w:id="558" w:name="_Toc6475"/>
      <w:bookmarkStart w:id="559" w:name="_Toc7873"/>
      <w:bookmarkStart w:id="560" w:name="_Toc241609841"/>
      <w:bookmarkStart w:id="561" w:name="_Toc24032"/>
      <w:bookmarkStart w:id="562" w:name="_Toc19873"/>
      <w:bookmarkStart w:id="563" w:name="_Toc17865"/>
      <w:bookmarkStart w:id="564" w:name="_Toc28346"/>
      <w:bookmarkStart w:id="565" w:name="_Toc23888"/>
      <w:r>
        <w:rPr>
          <w:rFonts w:hint="eastAsia"/>
        </w:rPr>
        <w:t>一般规定与检查</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216"/>
      </w:pPr>
      <w:r>
        <w:t>建筑智能化系统一般包括</w:t>
      </w:r>
      <w:r>
        <w:rPr>
          <w:rFonts w:hint="eastAsia"/>
        </w:rPr>
        <w:t>：</w:t>
      </w:r>
      <w:r>
        <w:t>建筑智能化集成</w:t>
      </w:r>
      <w:r>
        <w:rPr>
          <w:rFonts w:hint="eastAsia"/>
        </w:rPr>
        <w:t>；</w:t>
      </w:r>
      <w:r>
        <w:t>信息接入用户电话交换</w:t>
      </w:r>
      <w:r>
        <w:rPr>
          <w:rFonts w:hint="eastAsia"/>
        </w:rPr>
        <w:t>；</w:t>
      </w:r>
      <w:r>
        <w:t>信息网络</w:t>
      </w:r>
      <w:r>
        <w:rPr>
          <w:rFonts w:hint="eastAsia"/>
        </w:rPr>
        <w:t>；</w:t>
      </w:r>
      <w:r>
        <w:t>综合布线系统</w:t>
      </w:r>
      <w:r>
        <w:rPr>
          <w:rFonts w:hint="eastAsia"/>
        </w:rPr>
        <w:t>；</w:t>
      </w:r>
      <w:r>
        <w:t>移动通信室内信号覆盖</w:t>
      </w:r>
      <w:r>
        <w:rPr>
          <w:rFonts w:hint="eastAsia"/>
        </w:rPr>
        <w:t>；</w:t>
      </w:r>
      <w:r>
        <w:t>卫星通信</w:t>
      </w:r>
      <w:r>
        <w:rPr>
          <w:rFonts w:hint="eastAsia"/>
        </w:rPr>
        <w:t>；</w:t>
      </w:r>
      <w:r>
        <w:t>有线电视及卫星电视接收</w:t>
      </w:r>
      <w:r>
        <w:rPr>
          <w:rFonts w:hint="eastAsia"/>
        </w:rPr>
        <w:t>；</w:t>
      </w:r>
      <w:r>
        <w:t>公共广播系统</w:t>
      </w:r>
      <w:r>
        <w:rPr>
          <w:rFonts w:hint="eastAsia"/>
        </w:rPr>
        <w:t>；</w:t>
      </w:r>
      <w:r>
        <w:t>会议信息导引及发布</w:t>
      </w:r>
      <w:r>
        <w:rPr>
          <w:rFonts w:hint="eastAsia"/>
        </w:rPr>
        <w:t>；</w:t>
      </w:r>
      <w:r>
        <w:t>时钟</w:t>
      </w:r>
      <w:r>
        <w:rPr>
          <w:rFonts w:hint="eastAsia"/>
        </w:rPr>
        <w:t>；</w:t>
      </w:r>
      <w:r>
        <w:t>信息化应用</w:t>
      </w:r>
      <w:r>
        <w:rPr>
          <w:rFonts w:hint="eastAsia"/>
        </w:rPr>
        <w:t>；</w:t>
      </w:r>
      <w:r>
        <w:t>建筑设备监控</w:t>
      </w:r>
      <w:r>
        <w:rPr>
          <w:rFonts w:hint="eastAsia"/>
        </w:rPr>
        <w:t>；</w:t>
      </w:r>
      <w:r>
        <w:t>火灾自动报警</w:t>
      </w:r>
      <w:r>
        <w:rPr>
          <w:rFonts w:hint="eastAsia"/>
        </w:rPr>
        <w:t>；</w:t>
      </w:r>
      <w:r>
        <w:t>安全技术防范</w:t>
      </w:r>
      <w:r>
        <w:rPr>
          <w:rFonts w:hint="eastAsia"/>
        </w:rPr>
        <w:t>；</w:t>
      </w:r>
      <w:r>
        <w:t>应急响应</w:t>
      </w:r>
      <w:r>
        <w:rPr>
          <w:rFonts w:hint="eastAsia"/>
        </w:rPr>
        <w:t>；</w:t>
      </w:r>
      <w:r>
        <w:t>机房工程</w:t>
      </w:r>
      <w:r>
        <w:rPr>
          <w:rFonts w:hint="eastAsia"/>
        </w:rPr>
        <w:t>和</w:t>
      </w:r>
      <w:r>
        <w:t>防雷与接地等系统</w:t>
      </w:r>
      <w:r>
        <w:rPr>
          <w:rFonts w:hint="eastAsia"/>
        </w:rPr>
        <w:t>。</w:t>
      </w:r>
    </w:p>
    <w:p>
      <w:pPr>
        <w:pStyle w:val="216"/>
      </w:pPr>
      <w:r>
        <w:t>信息网络系统应包括计算机网络系统和网络安全系统，涉及国家秘密的网络安全系统在检查与鉴定、维修与验收时应遵守国家保密管理的相关规定，需由具有涉密资质的单位完成。</w:t>
      </w:r>
    </w:p>
    <w:p>
      <w:pPr>
        <w:pStyle w:val="216"/>
      </w:pPr>
      <w:r>
        <w:t>建筑智能化系统中各子系统的检查、评定与维修均可根据实际需要独立进行，并应符合下列要求：</w:t>
      </w:r>
    </w:p>
    <w:p>
      <w:pPr>
        <w:pStyle w:val="178"/>
        <w:numPr>
          <w:ilvl w:val="0"/>
          <w:numId w:val="109"/>
        </w:numPr>
      </w:pPr>
      <w:r>
        <w:rPr>
          <w:rFonts w:hint="eastAsia"/>
        </w:rPr>
        <w:t>信息网络系统应包括计算机网络子系统和网络安全子系统，两个子系统的检查与鉴定、维修与验收均可分别进行。其中涉及国家秘密的网络安全系统应符合国家保密管理的相关规定，需由具有涉密资质的单位完成；</w:t>
      </w:r>
    </w:p>
    <w:p>
      <w:pPr>
        <w:pStyle w:val="178"/>
        <w:numPr>
          <w:ilvl w:val="0"/>
          <w:numId w:val="109"/>
        </w:numPr>
      </w:pPr>
      <w:r>
        <w:rPr>
          <w:rFonts w:hint="eastAsia"/>
        </w:rPr>
        <w:t>会议系统应以独立会议室为基本单位，会议系统包括会议扩声系统、会议视频显示系统、会议灯光系统、会议同声传译系统、会议讨论系统、会议表决系统、会议签到系统、会议电视系统、会议集中控制系统、会议摄像系统、会议录播系统等。独立会议室中各子系统的检查与鉴定、维修与验收均可分别进行；</w:t>
      </w:r>
    </w:p>
    <w:p>
      <w:pPr>
        <w:pStyle w:val="178"/>
        <w:numPr>
          <w:ilvl w:val="0"/>
          <w:numId w:val="109"/>
        </w:numPr>
      </w:pPr>
      <w:r>
        <w:rPr>
          <w:rFonts w:hint="eastAsia"/>
        </w:rPr>
        <w:t>安全技术防范系统可包括安全防范综合管理系统、入侵报警系统、视频安防监控系统、出入口控制系统、电子巡查系统和停车库（场）系统等。各子系统的检查与鉴定、维修与验收均可分别进行；</w:t>
      </w:r>
    </w:p>
    <w:p>
      <w:pPr>
        <w:pStyle w:val="178"/>
        <w:numPr>
          <w:ilvl w:val="0"/>
          <w:numId w:val="109"/>
        </w:numPr>
      </w:pPr>
      <w:r>
        <w:rPr>
          <w:rFonts w:hint="eastAsia"/>
        </w:rPr>
        <w:t xml:space="preserve"> 机房工程应以独立机房为基本单位进行检查评定和维修验收，分为弱电间（电信间）和其他机房两大类分别进行；</w:t>
      </w:r>
    </w:p>
    <w:p>
      <w:pPr>
        <w:pStyle w:val="216"/>
      </w:pPr>
      <w:r>
        <w:t>建筑智能化系统的预期正常使用年限，除综合布线系统为15年外，其他系统为8年。</w:t>
      </w:r>
    </w:p>
    <w:p>
      <w:pPr>
        <w:pStyle w:val="216"/>
      </w:pPr>
      <w:r>
        <w:t>新建和更新改造后的建筑智能化系统及其子系统6年内不宜进行更新改造。</w:t>
      </w:r>
    </w:p>
    <w:p>
      <w:pPr>
        <w:pStyle w:val="216"/>
      </w:pPr>
      <w:r>
        <w:t>建筑智能化系统的</w:t>
      </w:r>
      <w:r>
        <w:rPr>
          <w:rFonts w:hint="eastAsia"/>
        </w:rPr>
        <w:t>大中小修</w:t>
      </w:r>
      <w:r>
        <w:t>宜与办公用房的装饰装修和其他机电系统的</w:t>
      </w:r>
      <w:r>
        <w:rPr>
          <w:rFonts w:hint="eastAsia"/>
        </w:rPr>
        <w:t>大中小修</w:t>
      </w:r>
      <w:r>
        <w:t>同步进行。</w:t>
      </w:r>
    </w:p>
    <w:p>
      <w:pPr>
        <w:pStyle w:val="216"/>
      </w:pPr>
      <w:r>
        <w:t>建筑智能化系统的检查，分为日常检查和综合检查</w:t>
      </w:r>
      <w:r>
        <w:rPr>
          <w:rFonts w:hint="eastAsia"/>
        </w:rPr>
        <w:t>，由使用单位负责实施</w:t>
      </w:r>
      <w:r>
        <w:t>。</w:t>
      </w:r>
    </w:p>
    <w:p>
      <w:pPr>
        <w:pStyle w:val="216"/>
      </w:pPr>
      <w:r>
        <w:t>建筑智能化系统日常检查，</w:t>
      </w:r>
      <w:r>
        <w:rPr>
          <w:rFonts w:hint="eastAsia"/>
        </w:rPr>
        <w:t>应符合下列要求：</w:t>
      </w:r>
    </w:p>
    <w:p>
      <w:pPr>
        <w:pStyle w:val="178"/>
        <w:numPr>
          <w:ilvl w:val="0"/>
          <w:numId w:val="110"/>
        </w:numPr>
      </w:pPr>
      <w:r>
        <w:rPr>
          <w:rFonts w:hint="eastAsia"/>
        </w:rPr>
        <w:t>外观巡视检查每日不少于1次，并制定计划每季度至少全部巡检一遍；</w:t>
      </w:r>
    </w:p>
    <w:p>
      <w:pPr>
        <w:pStyle w:val="178"/>
        <w:numPr>
          <w:ilvl w:val="0"/>
          <w:numId w:val="110"/>
        </w:numPr>
      </w:pPr>
      <w:r>
        <w:rPr>
          <w:rFonts w:hint="eastAsia"/>
        </w:rPr>
        <w:t>功能操作检查在人机界面上进行，必要时与现场人员进行结果的核对，每年不少于1次；</w:t>
      </w:r>
    </w:p>
    <w:p>
      <w:pPr>
        <w:pStyle w:val="178"/>
        <w:numPr>
          <w:ilvl w:val="0"/>
          <w:numId w:val="110"/>
        </w:numPr>
      </w:pPr>
      <w:r>
        <w:rPr>
          <w:rFonts w:hint="eastAsia"/>
        </w:rPr>
        <w:t>子系统或被监控设备（如会议系统和建筑设备监控系统被控对象的制冷空调设备）停运一个月以上再次使用之前，应对该子系统进行外观巡视、维护保养和功能操作全面检查。</w:t>
      </w:r>
    </w:p>
    <w:p>
      <w:pPr>
        <w:pStyle w:val="216"/>
      </w:pPr>
      <w:r>
        <w:rPr>
          <w:rFonts w:hint="eastAsia"/>
        </w:rPr>
        <w:t>建筑智能化系统</w:t>
      </w:r>
      <w:r>
        <w:t>日常检查宜包括下列内容：</w:t>
      </w:r>
    </w:p>
    <w:p>
      <w:pPr>
        <w:pStyle w:val="178"/>
        <w:numPr>
          <w:ilvl w:val="0"/>
          <w:numId w:val="111"/>
        </w:numPr>
      </w:pPr>
      <w:r>
        <w:rPr>
          <w:rFonts w:hint="eastAsia"/>
        </w:rPr>
        <w:t>各子系统中设备和线缆的外观和连接固定情况；</w:t>
      </w:r>
    </w:p>
    <w:p>
      <w:pPr>
        <w:pStyle w:val="178"/>
        <w:numPr>
          <w:ilvl w:val="0"/>
          <w:numId w:val="111"/>
        </w:numPr>
      </w:pPr>
      <w:r>
        <w:rPr>
          <w:rFonts w:hint="eastAsia"/>
        </w:rPr>
        <w:t>各子系统中设备和线缆的标识情况；</w:t>
      </w:r>
    </w:p>
    <w:p>
      <w:pPr>
        <w:pStyle w:val="178"/>
        <w:numPr>
          <w:ilvl w:val="0"/>
          <w:numId w:val="111"/>
        </w:numPr>
      </w:pPr>
      <w:r>
        <w:rPr>
          <w:rFonts w:hint="eastAsia"/>
        </w:rPr>
        <w:t>计算机界面的显示和操作情况；</w:t>
      </w:r>
    </w:p>
    <w:p>
      <w:pPr>
        <w:pStyle w:val="178"/>
        <w:numPr>
          <w:ilvl w:val="0"/>
          <w:numId w:val="111"/>
        </w:numPr>
      </w:pPr>
      <w:r>
        <w:rPr>
          <w:rFonts w:hint="eastAsia"/>
        </w:rPr>
        <w:t>各子系统机房和弱电间的环境情况；</w:t>
      </w:r>
    </w:p>
    <w:p>
      <w:pPr>
        <w:pStyle w:val="178"/>
        <w:numPr>
          <w:ilvl w:val="0"/>
          <w:numId w:val="111"/>
        </w:numPr>
      </w:pPr>
      <w:r>
        <w:rPr>
          <w:rFonts w:hint="eastAsia"/>
        </w:rPr>
        <w:t>室外安装设备和系统中电子设备的接地情况和接地电阻的阻值。</w:t>
      </w:r>
    </w:p>
    <w:p>
      <w:pPr>
        <w:pStyle w:val="216"/>
      </w:pPr>
      <w:r>
        <w:rPr>
          <w:rFonts w:hint="eastAsia"/>
        </w:rPr>
        <w:t>建筑</w:t>
      </w:r>
      <w:r>
        <w:t>智能化系统的综合检查应包括下列内容：</w:t>
      </w:r>
    </w:p>
    <w:p>
      <w:pPr>
        <w:pStyle w:val="178"/>
        <w:numPr>
          <w:ilvl w:val="0"/>
          <w:numId w:val="112"/>
        </w:numPr>
      </w:pPr>
      <w:r>
        <w:rPr>
          <w:rFonts w:hint="eastAsia"/>
        </w:rPr>
        <w:t>智能化集成系统、信息网络系统、公共广播系统、会议系统、信息导引及发布系统、时钟系统、信息化应用系统、建筑设备监控系统、安全技术防范系统、应急响应系统的功能实现情况；</w:t>
      </w:r>
    </w:p>
    <w:p>
      <w:pPr>
        <w:pStyle w:val="178"/>
        <w:numPr>
          <w:ilvl w:val="0"/>
          <w:numId w:val="112"/>
        </w:numPr>
      </w:pPr>
      <w:r>
        <w:rPr>
          <w:rFonts w:hint="eastAsia"/>
        </w:rPr>
        <w:t>信息网络系统中计算机网络系统的连通性、传输时延、丢包率和路由等指标；网络安全系统的安全保护能力等；</w:t>
      </w:r>
    </w:p>
    <w:p>
      <w:pPr>
        <w:pStyle w:val="178"/>
        <w:numPr>
          <w:ilvl w:val="0"/>
          <w:numId w:val="112"/>
        </w:numPr>
      </w:pPr>
      <w:r>
        <w:rPr>
          <w:rFonts w:hint="eastAsia"/>
        </w:rPr>
        <w:t>综合布线系统中电缆和光缆的性能指标；</w:t>
      </w:r>
    </w:p>
    <w:p>
      <w:pPr>
        <w:pStyle w:val="178"/>
        <w:numPr>
          <w:ilvl w:val="0"/>
          <w:numId w:val="112"/>
        </w:numPr>
      </w:pPr>
      <w:r>
        <w:rPr>
          <w:rFonts w:hint="eastAsia"/>
        </w:rPr>
        <w:t>有线、卫星电视接收系统的电视图像质量和双向数字电视系统的上下行指标；</w:t>
      </w:r>
    </w:p>
    <w:p>
      <w:pPr>
        <w:pStyle w:val="178"/>
        <w:numPr>
          <w:ilvl w:val="0"/>
          <w:numId w:val="112"/>
        </w:numPr>
      </w:pPr>
      <w:r>
        <w:rPr>
          <w:rFonts w:hint="eastAsia"/>
        </w:rPr>
        <w:t>公共广播系统的应备声压级、语言清晰度、声场不均匀度、漏出声衰减及系统设备信噪比等指标；</w:t>
      </w:r>
    </w:p>
    <w:p>
      <w:pPr>
        <w:pStyle w:val="178"/>
        <w:numPr>
          <w:ilvl w:val="0"/>
          <w:numId w:val="112"/>
        </w:numPr>
      </w:pPr>
      <w:r>
        <w:rPr>
          <w:rFonts w:hint="eastAsia"/>
        </w:rPr>
        <w:t xml:space="preserve">信息导引及发布系统的图像质量和性能指标； </w:t>
      </w:r>
    </w:p>
    <w:p>
      <w:pPr>
        <w:pStyle w:val="178"/>
        <w:numPr>
          <w:ilvl w:val="0"/>
          <w:numId w:val="112"/>
        </w:numPr>
      </w:pPr>
      <w:r>
        <w:rPr>
          <w:rFonts w:hint="eastAsia"/>
        </w:rPr>
        <w:t>时钟系统的平均瞬时日差和同步偏差等指标；</w:t>
      </w:r>
    </w:p>
    <w:p>
      <w:pPr>
        <w:pStyle w:val="178"/>
        <w:numPr>
          <w:ilvl w:val="0"/>
          <w:numId w:val="112"/>
        </w:numPr>
      </w:pPr>
      <w:r>
        <w:rPr>
          <w:rFonts w:hint="eastAsia"/>
        </w:rPr>
        <w:t>信息化应用系统的智能卡和读写设备的性能指标；</w:t>
      </w:r>
    </w:p>
    <w:p>
      <w:pPr>
        <w:pStyle w:val="178"/>
        <w:numPr>
          <w:ilvl w:val="0"/>
          <w:numId w:val="112"/>
        </w:numPr>
      </w:pPr>
      <w:r>
        <w:rPr>
          <w:rFonts w:hint="eastAsia"/>
        </w:rPr>
        <w:t>安全技术防范系统中视频安防监控系统、入侵报警系统、出入口控制系统、电子巡查系统、停车场管理系统、安全防范综合管理系统主要设备性能指标；</w:t>
      </w:r>
    </w:p>
    <w:p>
      <w:pPr>
        <w:pStyle w:val="178"/>
        <w:numPr>
          <w:ilvl w:val="0"/>
          <w:numId w:val="112"/>
        </w:numPr>
      </w:pPr>
      <w:r>
        <w:rPr>
          <w:rFonts w:hint="eastAsia"/>
        </w:rPr>
        <w:t>信息接入机房、信息网络机房、用户电话交换机房、有线电视前段机房、智能化总控室、信息设施系统总配线机房、安防监控中心、应急响应中心、弱电间和电信间等机房的装饰装修、电磁屏蔽、电源质量、室内照度和温湿度等。</w:t>
      </w:r>
      <w:bookmarkStart w:id="566" w:name="_Toc404932226"/>
      <w:bookmarkStart w:id="567" w:name="_Toc404929825"/>
      <w:bookmarkStart w:id="568" w:name="_Toc441240400"/>
    </w:p>
    <w:p>
      <w:pPr>
        <w:pStyle w:val="82"/>
        <w:spacing w:before="156" w:after="156"/>
      </w:pPr>
      <w:bookmarkStart w:id="569" w:name="_Toc12006"/>
      <w:bookmarkStart w:id="570" w:name="_Toc2625"/>
      <w:bookmarkStart w:id="571" w:name="_Toc30590"/>
      <w:bookmarkStart w:id="572" w:name="_Toc29608"/>
      <w:bookmarkStart w:id="573" w:name="_Toc16383"/>
      <w:bookmarkStart w:id="574" w:name="_Toc3766"/>
      <w:bookmarkStart w:id="575" w:name="_Toc241609842"/>
      <w:bookmarkStart w:id="576" w:name="_Toc241610358"/>
      <w:bookmarkStart w:id="577" w:name="_Toc29848"/>
      <w:bookmarkStart w:id="578" w:name="_Toc11015"/>
      <w:bookmarkStart w:id="579" w:name="_Toc16096"/>
      <w:bookmarkStart w:id="580" w:name="_Toc8845"/>
      <w:bookmarkStart w:id="581" w:name="_Toc9165"/>
      <w:bookmarkStart w:id="582" w:name="_Toc2170"/>
      <w:bookmarkStart w:id="583" w:name="_Toc31976"/>
      <w:bookmarkStart w:id="584" w:name="_Toc14616"/>
      <w:r>
        <w:rPr>
          <w:rFonts w:hint="eastAsia"/>
        </w:rPr>
        <w:t>建筑智能化系统</w:t>
      </w:r>
      <w:r>
        <w:t>维修</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216"/>
      </w:pPr>
      <w:r>
        <w:t>建筑智能化系统维修工程分为日常维修和</w:t>
      </w:r>
      <w:r>
        <w:rPr>
          <w:rFonts w:hint="eastAsia"/>
        </w:rPr>
        <w:t>大中小修</w:t>
      </w:r>
      <w:r>
        <w:t>。</w:t>
      </w:r>
    </w:p>
    <w:p>
      <w:pPr>
        <w:pStyle w:val="216"/>
      </w:pPr>
      <w:r>
        <w:t>建筑智能化系统的日常维修是指及时修复或排除系统的小故障，保证系统正常运行和使用的日常维护和保养工作。应根据日常检查的结果以及设备和系统的使用维护要求及时进行。</w:t>
      </w:r>
    </w:p>
    <w:p>
      <w:pPr>
        <w:pStyle w:val="216"/>
      </w:pPr>
      <w:r>
        <w:t>建筑智能化系统的日常维修包括下列内容：</w:t>
      </w:r>
    </w:p>
    <w:p>
      <w:pPr>
        <w:pStyle w:val="178"/>
        <w:numPr>
          <w:ilvl w:val="0"/>
          <w:numId w:val="113"/>
        </w:numPr>
      </w:pPr>
      <w:r>
        <w:rPr>
          <w:rFonts w:hint="eastAsia"/>
        </w:rPr>
        <w:t>清扫灰尘和紧固连接件等工作；</w:t>
      </w:r>
    </w:p>
    <w:p>
      <w:pPr>
        <w:pStyle w:val="178"/>
        <w:numPr>
          <w:ilvl w:val="0"/>
          <w:numId w:val="113"/>
        </w:numPr>
      </w:pPr>
      <w:r>
        <w:rPr>
          <w:rFonts w:hint="eastAsia"/>
        </w:rPr>
        <w:t>小型易损部件的更换；与用户端连接的末级线缆和接头的更换；线缆和设备标识的更换；</w:t>
      </w:r>
    </w:p>
    <w:p>
      <w:pPr>
        <w:pStyle w:val="178"/>
        <w:numPr>
          <w:ilvl w:val="0"/>
          <w:numId w:val="113"/>
        </w:numPr>
      </w:pPr>
      <w:r>
        <w:rPr>
          <w:rFonts w:hint="eastAsia"/>
        </w:rPr>
        <w:t>管线托盘、槽盒和支架的防腐处理；</w:t>
      </w:r>
    </w:p>
    <w:p>
      <w:pPr>
        <w:pStyle w:val="178"/>
        <w:numPr>
          <w:ilvl w:val="0"/>
          <w:numId w:val="113"/>
        </w:numPr>
      </w:pPr>
      <w:r>
        <w:rPr>
          <w:rFonts w:hint="eastAsia"/>
        </w:rPr>
        <w:t>在计算机操作界面上调整系统的运行参数。</w:t>
      </w:r>
    </w:p>
    <w:p>
      <w:pPr>
        <w:pStyle w:val="216"/>
      </w:pPr>
      <w:r>
        <w:rPr>
          <w:rFonts w:hint="eastAsia"/>
        </w:rPr>
        <w:t>建筑智能化系统的大中小修应符合下列要求：</w:t>
      </w:r>
    </w:p>
    <w:p>
      <w:pPr>
        <w:pStyle w:val="178"/>
        <w:numPr>
          <w:ilvl w:val="0"/>
          <w:numId w:val="114"/>
        </w:numPr>
      </w:pPr>
      <w:r>
        <w:rPr>
          <w:rFonts w:hint="eastAsia"/>
        </w:rPr>
        <w:t>子系统达到使用年限时，可直接申请进行大中小修；</w:t>
      </w:r>
    </w:p>
    <w:p>
      <w:pPr>
        <w:pStyle w:val="178"/>
        <w:numPr>
          <w:ilvl w:val="0"/>
          <w:numId w:val="114"/>
        </w:numPr>
      </w:pPr>
      <w:r>
        <w:rPr>
          <w:rFonts w:hint="eastAsia"/>
        </w:rPr>
        <w:t>根据使用需要增设某一子系统时，应进行更新改造，属于大中小修；</w:t>
      </w:r>
    </w:p>
    <w:p>
      <w:pPr>
        <w:pStyle w:val="178"/>
        <w:numPr>
          <w:ilvl w:val="0"/>
          <w:numId w:val="114"/>
        </w:numPr>
      </w:pPr>
      <w:r>
        <w:rPr>
          <w:rFonts w:hint="eastAsia"/>
        </w:rPr>
        <w:t>子系统检查中出现不符合《工程建设标准强制性条文》要求的项目时，应对该子系统进行大中小修；</w:t>
      </w:r>
    </w:p>
    <w:p>
      <w:pPr>
        <w:pStyle w:val="178"/>
        <w:numPr>
          <w:ilvl w:val="0"/>
          <w:numId w:val="114"/>
        </w:numPr>
      </w:pPr>
      <w:r>
        <w:rPr>
          <w:rFonts w:hint="eastAsia"/>
        </w:rPr>
        <w:t>原有建筑智能化系统已超过本文件规定的正常使用年限，且使用功能无法适应办公需求的；</w:t>
      </w:r>
    </w:p>
    <w:p>
      <w:pPr>
        <w:pStyle w:val="178"/>
        <w:numPr>
          <w:ilvl w:val="0"/>
          <w:numId w:val="114"/>
        </w:numPr>
      </w:pPr>
      <w:r>
        <w:rPr>
          <w:rFonts w:hint="eastAsia"/>
        </w:rPr>
        <w:t>除网络安全系统外的其他子系统，检查评定项目中被评为Ｂ级、且通过加强日常维修仍无法达到正常使用条件的达到30%及以上（原设计中不含的项目应在总数中扣除），应对该子系统进行大中小修；</w:t>
      </w:r>
    </w:p>
    <w:p>
      <w:pPr>
        <w:pStyle w:val="178"/>
        <w:numPr>
          <w:ilvl w:val="0"/>
          <w:numId w:val="114"/>
        </w:numPr>
      </w:pPr>
      <w:r>
        <w:rPr>
          <w:rFonts w:hint="eastAsia"/>
        </w:rPr>
        <w:t>多于1个子系统需进行大中小修时，应统筹安排相关部分的大中小修；</w:t>
      </w:r>
    </w:p>
    <w:p>
      <w:pPr>
        <w:pStyle w:val="178"/>
        <w:numPr>
          <w:ilvl w:val="0"/>
          <w:numId w:val="114"/>
        </w:numPr>
      </w:pPr>
      <w:r>
        <w:rPr>
          <w:rFonts w:hint="eastAsia"/>
        </w:rPr>
        <w:t>进行综合维修时，应考虑建筑智能化系统进行大中小修。</w:t>
      </w:r>
    </w:p>
    <w:p>
      <w:pPr>
        <w:pStyle w:val="216"/>
      </w:pPr>
      <w:r>
        <w:rPr>
          <w:rFonts w:hint="eastAsia"/>
        </w:rPr>
        <w:t>建筑智能化系统经过</w:t>
      </w:r>
      <w:r>
        <w:t>检查</w:t>
      </w:r>
      <w:r>
        <w:rPr>
          <w:rFonts w:hint="eastAsia"/>
        </w:rPr>
        <w:t>，</w:t>
      </w:r>
      <w:r>
        <w:t>评定为</w:t>
      </w:r>
      <w:r>
        <w:rPr>
          <w:rFonts w:hint="eastAsia"/>
        </w:rPr>
        <w:t>大中小修</w:t>
      </w:r>
      <w:r>
        <w:t>后，应依据国家现行有关标准的规定编制</w:t>
      </w:r>
      <w:r>
        <w:rPr>
          <w:rFonts w:hint="eastAsia"/>
        </w:rPr>
        <w:t>维修</w:t>
      </w:r>
      <w:r>
        <w:t>方案。</w:t>
      </w:r>
      <w:r>
        <w:rPr>
          <w:rFonts w:hint="eastAsia"/>
        </w:rPr>
        <w:t>维修</w:t>
      </w:r>
      <w:r>
        <w:t>方案应包括下列内容：</w:t>
      </w:r>
    </w:p>
    <w:p>
      <w:pPr>
        <w:pStyle w:val="178"/>
        <w:numPr>
          <w:ilvl w:val="0"/>
          <w:numId w:val="115"/>
        </w:numPr>
      </w:pPr>
      <w:r>
        <w:rPr>
          <w:rFonts w:hint="eastAsia"/>
        </w:rPr>
        <w:t>办公用房基本概况（包括建筑面积、建筑年代、建筑高度以及平面布置）；</w:t>
      </w:r>
    </w:p>
    <w:p>
      <w:pPr>
        <w:pStyle w:val="178"/>
        <w:numPr>
          <w:ilvl w:val="0"/>
          <w:numId w:val="115"/>
        </w:numPr>
      </w:pPr>
      <w:r>
        <w:rPr>
          <w:rFonts w:hint="eastAsia"/>
        </w:rPr>
        <w:t>建筑智能化系统的使用现状、检查与评定结果；</w:t>
      </w:r>
    </w:p>
    <w:p>
      <w:pPr>
        <w:pStyle w:val="178"/>
        <w:numPr>
          <w:ilvl w:val="0"/>
          <w:numId w:val="115"/>
        </w:numPr>
      </w:pPr>
      <w:r>
        <w:rPr>
          <w:rFonts w:hint="eastAsia"/>
        </w:rPr>
        <w:t>维修改造内容、初步设计方案、需更换的设备材料清单、维修的可行性以及工程施工周期等。</w:t>
      </w:r>
    </w:p>
    <w:p>
      <w:pPr>
        <w:pStyle w:val="216"/>
      </w:pPr>
      <w:r>
        <w:t>建筑智能化系统的</w:t>
      </w:r>
      <w:r>
        <w:rPr>
          <w:rFonts w:hint="eastAsia"/>
        </w:rPr>
        <w:t>大中小修</w:t>
      </w:r>
      <w:r>
        <w:t>应结合评定结论和设备使用年限综合进行专项设计，并应符合下列规定：</w:t>
      </w:r>
    </w:p>
    <w:p>
      <w:pPr>
        <w:pStyle w:val="178"/>
        <w:numPr>
          <w:ilvl w:val="0"/>
          <w:numId w:val="116"/>
        </w:numPr>
      </w:pPr>
      <w:r>
        <w:rPr>
          <w:rFonts w:hint="eastAsia"/>
        </w:rPr>
        <w:t>对建筑能耗和水耗的监测功能应符合机关事务管理部门的统一规定，功能实现需要的硬件和软件应纳入建筑设备监控系统统筹考虑。如只涉及本部分功能的新增，可单独组成一个子系统实现功能；</w:t>
      </w:r>
    </w:p>
    <w:p>
      <w:pPr>
        <w:pStyle w:val="178"/>
        <w:numPr>
          <w:ilvl w:val="0"/>
          <w:numId w:val="116"/>
        </w:numPr>
      </w:pPr>
      <w:r>
        <w:rPr>
          <w:rFonts w:hint="eastAsia"/>
        </w:rPr>
        <w:t>智能化集成系统应根据电子政务的有关规定进行综合设计；</w:t>
      </w:r>
    </w:p>
    <w:p>
      <w:pPr>
        <w:pStyle w:val="178"/>
        <w:numPr>
          <w:ilvl w:val="0"/>
          <w:numId w:val="116"/>
        </w:numPr>
      </w:pPr>
      <w:r>
        <w:rPr>
          <w:rFonts w:hint="eastAsia"/>
        </w:rPr>
        <w:t>应考虑维修更新部分与系统原有部分的兼容性，做好接口设计。</w:t>
      </w:r>
    </w:p>
    <w:p>
      <w:pPr>
        <w:pStyle w:val="82"/>
        <w:spacing w:before="156" w:after="156"/>
      </w:pPr>
      <w:bookmarkStart w:id="585" w:name="_Toc17872"/>
      <w:bookmarkStart w:id="586" w:name="_Toc241610359"/>
      <w:bookmarkStart w:id="587" w:name="_Toc24534"/>
      <w:bookmarkStart w:id="588" w:name="_Toc10875"/>
      <w:bookmarkStart w:id="589" w:name="_Toc241609843"/>
      <w:r>
        <w:rPr>
          <w:rFonts w:hint="eastAsia"/>
        </w:rPr>
        <w:t>建筑智能化系统验收</w:t>
      </w:r>
      <w:bookmarkEnd w:id="585"/>
      <w:bookmarkEnd w:id="586"/>
      <w:bookmarkEnd w:id="587"/>
      <w:bookmarkEnd w:id="588"/>
      <w:bookmarkEnd w:id="589"/>
    </w:p>
    <w:p>
      <w:pPr>
        <w:ind w:firstLine="420" w:firstLineChars="200"/>
      </w:pPr>
      <w:r>
        <w:rPr>
          <w:rFonts w:hint="eastAsia" w:ascii="宋体" w:hAnsi="宋体" w:cs="宋体"/>
        </w:rPr>
        <w:t>建筑智能化系统维修工程的设计、实施和检测验收，应符合下相关标准的规定，具体包括GB/T 50314、GB 50339、GB 50411、GB 50606等。</w:t>
      </w:r>
    </w:p>
    <w:p>
      <w:pPr>
        <w:pStyle w:val="60"/>
        <w:ind w:firstLine="420"/>
      </w:pPr>
    </w:p>
    <w:p>
      <w:pPr>
        <w:pStyle w:val="60"/>
        <w:ind w:firstLine="420"/>
      </w:pPr>
    </w:p>
    <w:p>
      <w:pPr>
        <w:pStyle w:val="60"/>
        <w:ind w:firstLine="420"/>
      </w:pPr>
    </w:p>
    <w:p>
      <w:pPr>
        <w:pStyle w:val="60"/>
        <w:ind w:firstLine="420"/>
        <w:sectPr>
          <w:pgSz w:w="11906" w:h="16838"/>
          <w:pgMar w:top="1928" w:right="1134" w:bottom="1134" w:left="1134" w:header="1418" w:footer="1134" w:gutter="284"/>
          <w:cols w:space="425" w:num="1"/>
          <w:formProt w:val="0"/>
          <w:docGrid w:type="lines" w:linePitch="312" w:charSpace="0"/>
        </w:sectPr>
      </w:pPr>
    </w:p>
    <w:p>
      <w:pPr>
        <w:pStyle w:val="202"/>
        <w:rPr>
          <w:rFonts w:hint="eastAsia"/>
        </w:rPr>
      </w:pPr>
    </w:p>
    <w:p>
      <w:pPr>
        <w:pStyle w:val="203"/>
      </w:pPr>
    </w:p>
    <w:p>
      <w:pPr>
        <w:pStyle w:val="80"/>
        <w:spacing w:before="78" w:after="156"/>
      </w:pPr>
      <w:bookmarkStart w:id="590" w:name="_Toc19137"/>
      <w:r>
        <w:rPr>
          <w:rFonts w:hint="eastAsia"/>
        </w:rPr>
        <w:br w:type="textWrapping"/>
      </w:r>
      <w:bookmarkStart w:id="591" w:name="_Toc241610360"/>
      <w:bookmarkStart w:id="592" w:name="_Toc241609844"/>
      <w:r>
        <w:rPr>
          <w:rFonts w:hint="eastAsia"/>
        </w:rPr>
        <w:t>（规范性）</w:t>
      </w:r>
      <w:r>
        <w:rPr>
          <w:rFonts w:hint="eastAsia"/>
        </w:rPr>
        <w:br w:type="textWrapping"/>
      </w:r>
      <w:r>
        <w:rPr>
          <w:rFonts w:hint="eastAsia"/>
        </w:rPr>
        <w:t>建筑节能与可再生能源项目检查、维修与验收技术要求</w:t>
      </w:r>
      <w:bookmarkEnd w:id="590"/>
      <w:bookmarkEnd w:id="591"/>
      <w:bookmarkEnd w:id="592"/>
    </w:p>
    <w:p>
      <w:pPr>
        <w:pStyle w:val="82"/>
        <w:spacing w:before="156" w:after="156"/>
      </w:pPr>
      <w:bookmarkStart w:id="593" w:name="_Toc23383"/>
      <w:bookmarkStart w:id="594" w:name="_Toc18210"/>
      <w:bookmarkStart w:id="595" w:name="_Toc21439"/>
      <w:bookmarkStart w:id="596" w:name="_Toc241610361"/>
      <w:bookmarkStart w:id="597" w:name="_Toc4087"/>
      <w:bookmarkStart w:id="598" w:name="_Toc15085"/>
      <w:bookmarkStart w:id="599" w:name="_Toc32683"/>
      <w:bookmarkStart w:id="600" w:name="_Toc16807"/>
      <w:bookmarkStart w:id="601" w:name="_Toc13105"/>
      <w:bookmarkStart w:id="602" w:name="_Toc5640"/>
      <w:bookmarkStart w:id="603" w:name="_Toc7385"/>
      <w:bookmarkStart w:id="604" w:name="_Toc4288"/>
      <w:bookmarkStart w:id="605" w:name="_Toc17628"/>
      <w:bookmarkStart w:id="606" w:name="_Toc241609845"/>
      <w:bookmarkStart w:id="607" w:name="_Toc24715"/>
      <w:bookmarkStart w:id="608" w:name="_Toc6428"/>
      <w:r>
        <w:rPr>
          <w:rFonts w:hint="eastAsia"/>
        </w:rPr>
        <w:t>一般规定与检查</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216"/>
      </w:pPr>
      <w:r>
        <w:t>办公用房中建筑节能与可再生能源项目包括</w:t>
      </w:r>
      <w:r>
        <w:rPr>
          <w:rFonts w:hint="eastAsia"/>
        </w:rPr>
        <w:t>：</w:t>
      </w:r>
      <w:r>
        <w:t>建筑围护结构系统节能</w:t>
      </w:r>
      <w:r>
        <w:rPr>
          <w:rFonts w:hint="eastAsia"/>
        </w:rPr>
        <w:t>；</w:t>
      </w:r>
      <w:r>
        <w:t>建筑设备节能</w:t>
      </w:r>
      <w:r>
        <w:rPr>
          <w:rFonts w:hint="eastAsia"/>
        </w:rPr>
        <w:t>；</w:t>
      </w:r>
      <w:r>
        <w:t>太阳能热水系统</w:t>
      </w:r>
      <w:r>
        <w:rPr>
          <w:rFonts w:hint="eastAsia"/>
        </w:rPr>
        <w:t>；</w:t>
      </w:r>
      <w:r>
        <w:t>光伏发电系统</w:t>
      </w:r>
      <w:r>
        <w:rPr>
          <w:rFonts w:hint="eastAsia"/>
        </w:rPr>
        <w:t>；</w:t>
      </w:r>
      <w:r>
        <w:t>雨水回收处理系统以及地源热泵等。</w:t>
      </w:r>
    </w:p>
    <w:p>
      <w:pPr>
        <w:pStyle w:val="216"/>
      </w:pPr>
      <w:r>
        <w:t>当建筑物中已有的建筑节能与可再生能源项目达到综合检查周期或在日常检查中发现有安全隐患或设备出现故障、损坏，以及严重影响使用功能时，</w:t>
      </w:r>
      <w:r>
        <w:rPr>
          <w:rFonts w:hint="eastAsia"/>
        </w:rPr>
        <w:t>使用单位</w:t>
      </w:r>
      <w:r>
        <w:t>应及时组织综合检查。</w:t>
      </w:r>
    </w:p>
    <w:p>
      <w:pPr>
        <w:pStyle w:val="216"/>
      </w:pPr>
      <w:r>
        <w:t>综合检查与评定，应由有资质的质量检查机构承担。必要时还应会同设备生产单位进行检查。</w:t>
      </w:r>
    </w:p>
    <w:p>
      <w:pPr>
        <w:pStyle w:val="216"/>
      </w:pPr>
      <w:r>
        <w:t>除特殊情况外，建筑节能与可再生能源项目的大中修，宜与其他相关系统的大中修同时进行安排。</w:t>
      </w:r>
    </w:p>
    <w:p>
      <w:pPr>
        <w:pStyle w:val="216"/>
        <w:numPr>
          <w:ilvl w:val="2"/>
          <w:numId w:val="0"/>
        </w:numPr>
        <w:ind w:firstLine="420" w:firstLineChars="200"/>
      </w:pPr>
      <w:r>
        <w:rPr>
          <w:rFonts w:hint="eastAsia"/>
        </w:rPr>
        <w:t>除特殊情形外，建筑节能与可再生能源相关大中小修工程，宜与其他配套系统大中小修同步统筹实施。建筑改造条件完备、施工不损害主体结构安全，且屋顶、幕墙改造可提升建筑节能效益、技术经济可行的，可同步配套增设光伏屋面、光伏幕墙；雨水回收处理系统应结合项目现状综合论证，技术经济条件具备时予以配套建设，处理后的回用水用于卫生间冲厕、车辆清洗等非饮用用水用途。</w:t>
      </w:r>
    </w:p>
    <w:p>
      <w:pPr>
        <w:pStyle w:val="216"/>
      </w:pPr>
      <w:r>
        <w:t>经大中</w:t>
      </w:r>
      <w:r>
        <w:rPr>
          <w:rFonts w:hint="eastAsia"/>
        </w:rPr>
        <w:t>小</w:t>
      </w:r>
      <w:r>
        <w:t>修的项目，其主要材料、设备、器具的性能及节能的效率应符合国家现行有关标准；预期的正常使用年限不宜低于其设备的主要零件使用寿命。</w:t>
      </w:r>
    </w:p>
    <w:p>
      <w:pPr>
        <w:pStyle w:val="82"/>
        <w:spacing w:before="156" w:after="156"/>
      </w:pPr>
      <w:bookmarkStart w:id="609" w:name="_Toc404929828"/>
      <w:bookmarkStart w:id="610" w:name="_Toc404932229"/>
      <w:bookmarkStart w:id="611" w:name="_Toc441240403"/>
      <w:bookmarkStart w:id="612" w:name="_Toc15534"/>
      <w:bookmarkStart w:id="613" w:name="_Toc23997"/>
      <w:bookmarkStart w:id="614" w:name="_Toc10101"/>
      <w:bookmarkStart w:id="615" w:name="_Toc25556"/>
      <w:bookmarkStart w:id="616" w:name="_Toc241610362"/>
      <w:bookmarkStart w:id="617" w:name="_Toc5870"/>
      <w:bookmarkStart w:id="618" w:name="_Toc4862"/>
      <w:bookmarkStart w:id="619" w:name="_Toc30021"/>
      <w:bookmarkStart w:id="620" w:name="_Toc7245"/>
      <w:bookmarkStart w:id="621" w:name="_Toc30607"/>
      <w:bookmarkStart w:id="622" w:name="_Toc241609846"/>
      <w:bookmarkStart w:id="623" w:name="_Toc17567"/>
      <w:bookmarkStart w:id="624" w:name="_Toc264"/>
      <w:bookmarkStart w:id="625" w:name="_Toc30873"/>
      <w:bookmarkStart w:id="626" w:name="_Toc18986"/>
      <w:bookmarkStart w:id="627" w:name="_Toc30295"/>
      <w:r>
        <w:rPr>
          <w:rFonts w:hint="eastAsia"/>
        </w:rPr>
        <w:t>围护结构节能系统</w:t>
      </w:r>
      <w:bookmarkEnd w:id="609"/>
      <w:bookmarkEnd w:id="610"/>
      <w:bookmarkEnd w:id="611"/>
      <w:r>
        <w:rPr>
          <w:rFonts w:hint="eastAsia"/>
        </w:rPr>
        <w:t>维修</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216"/>
      </w:pPr>
      <w:r>
        <w:t>围护结构节能系统</w:t>
      </w:r>
      <w:r>
        <w:rPr>
          <w:rFonts w:hint="eastAsia"/>
        </w:rPr>
        <w:t>包括：</w:t>
      </w:r>
      <w:r>
        <w:t>墙体</w:t>
      </w:r>
      <w:r>
        <w:rPr>
          <w:rFonts w:hint="eastAsia"/>
        </w:rPr>
        <w:t>、</w:t>
      </w:r>
      <w:r>
        <w:t>屋面</w:t>
      </w:r>
      <w:r>
        <w:rPr>
          <w:rFonts w:hint="eastAsia"/>
        </w:rPr>
        <w:t>、楼面、</w:t>
      </w:r>
      <w:r>
        <w:t>门窗和透明幕墙</w:t>
      </w:r>
      <w:r>
        <w:rPr>
          <w:rFonts w:hint="eastAsia"/>
        </w:rPr>
        <w:t>，相应的检查和评定参照维护结构系统维修标准规定</w:t>
      </w:r>
      <w:r>
        <w:t>。</w:t>
      </w:r>
    </w:p>
    <w:p>
      <w:pPr>
        <w:pStyle w:val="216"/>
      </w:pPr>
      <w:r>
        <w:rPr>
          <w:rFonts w:hint="eastAsia"/>
        </w:rPr>
        <w:t>对建筑外墙、屋面检查后，评定</w:t>
      </w:r>
      <w:r>
        <w:t>为日常维修</w:t>
      </w:r>
      <w:r>
        <w:rPr>
          <w:rFonts w:hint="eastAsia"/>
        </w:rPr>
        <w:t>的</w:t>
      </w:r>
      <w:r>
        <w:t>，宜对出现问题的建筑外墙、屋面进行热工性能检查，其检测值应与设计值相符，当设计资料丢失或无法查证时应满足</w:t>
      </w:r>
      <w:r>
        <w:rPr>
          <w:rFonts w:hint="eastAsia"/>
        </w:rPr>
        <w:t xml:space="preserve">GB </w:t>
      </w:r>
      <w:r>
        <w:t>50176的规定，经检查不满足要求时，应及时会同围护结构系统进行维修</w:t>
      </w:r>
      <w:r>
        <w:rPr>
          <w:rFonts w:hint="eastAsia"/>
        </w:rPr>
        <w:t>。</w:t>
      </w:r>
      <w:r>
        <w:t>评定为大中修</w:t>
      </w:r>
      <w:r>
        <w:rPr>
          <w:rFonts w:hint="eastAsia"/>
        </w:rPr>
        <w:t>的</w:t>
      </w:r>
      <w:r>
        <w:t>，应会同围护结构系统进行维修。</w:t>
      </w:r>
    </w:p>
    <w:p>
      <w:pPr>
        <w:pStyle w:val="216"/>
      </w:pPr>
      <w:r>
        <w:rPr>
          <w:rFonts w:hint="eastAsia"/>
        </w:rPr>
        <w:t>对建筑外门、窗的</w:t>
      </w:r>
      <w:r>
        <w:t>日常检查</w:t>
      </w:r>
      <w:r>
        <w:rPr>
          <w:rFonts w:hint="eastAsia"/>
        </w:rPr>
        <w:t>后，</w:t>
      </w:r>
      <w:r>
        <w:t>发现建筑外窗、透明幕墙存在下列情况时，应组织综合检查</w:t>
      </w:r>
      <w:r>
        <w:rPr>
          <w:rFonts w:hint="eastAsia"/>
        </w:rPr>
        <w:t>：</w:t>
      </w:r>
    </w:p>
    <w:p>
      <w:pPr>
        <w:pStyle w:val="178"/>
        <w:numPr>
          <w:ilvl w:val="0"/>
          <w:numId w:val="117"/>
        </w:numPr>
      </w:pPr>
      <w:r>
        <w:rPr>
          <w:rFonts w:hint="eastAsia"/>
        </w:rPr>
        <w:t>在建筑冷热源系统正常运行工况下，设置有建筑外窗或透明幕墙的相邻房间内，设定温度相同时，温度偏差大于等于2℃；</w:t>
      </w:r>
    </w:p>
    <w:p>
      <w:pPr>
        <w:pStyle w:val="178"/>
        <w:numPr>
          <w:ilvl w:val="0"/>
          <w:numId w:val="117"/>
        </w:numPr>
      </w:pPr>
      <w:r>
        <w:rPr>
          <w:rFonts w:hint="eastAsia"/>
        </w:rPr>
        <w:t>建筑外窗、透明幕墙所使用的中空玻璃气体空间内出现水蒸气、粉尘；</w:t>
      </w:r>
    </w:p>
    <w:p>
      <w:pPr>
        <w:pStyle w:val="178"/>
        <w:numPr>
          <w:ilvl w:val="0"/>
          <w:numId w:val="117"/>
        </w:numPr>
      </w:pPr>
      <w:r>
        <w:rPr>
          <w:rFonts w:hint="eastAsia"/>
        </w:rPr>
        <w:t>建筑外窗、透明幕墙的密封条脱落、氧化变形等。</w:t>
      </w:r>
    </w:p>
    <w:p>
      <w:pPr>
        <w:pStyle w:val="216"/>
      </w:pPr>
      <w:r>
        <w:rPr>
          <w:rFonts w:hint="eastAsia"/>
        </w:rPr>
        <w:t>对建筑外门、窗的</w:t>
      </w:r>
      <w:r>
        <w:t>日常检查</w:t>
      </w:r>
      <w:r>
        <w:rPr>
          <w:rFonts w:hint="eastAsia"/>
        </w:rPr>
        <w:t>后，</w:t>
      </w:r>
      <w:r>
        <w:t>评定为日常维修</w:t>
      </w:r>
      <w:r>
        <w:rPr>
          <w:rFonts w:hint="eastAsia"/>
        </w:rPr>
        <w:t>的</w:t>
      </w:r>
      <w:r>
        <w:t>，宜对出现问题的建筑外窗、透明幕墙进行热工性能、气密性检查，其检测值应与设计值相符，当设计资料丢失或无法查证时应满足</w:t>
      </w:r>
      <w:r>
        <w:rPr>
          <w:rFonts w:hint="eastAsia"/>
        </w:rPr>
        <w:t>GB</w:t>
      </w:r>
      <w:r>
        <w:t>/T 7106、</w:t>
      </w:r>
      <w:r>
        <w:rPr>
          <w:rFonts w:hint="eastAsia"/>
        </w:rPr>
        <w:t>GB</w:t>
      </w:r>
      <w:r>
        <w:t>/T21086的规定，经检查不满足要求时，应及时会同围护结构系统和建筑装饰装修系统进行维修</w:t>
      </w:r>
      <w:r>
        <w:rPr>
          <w:rFonts w:hint="eastAsia"/>
        </w:rPr>
        <w:t>。</w:t>
      </w:r>
      <w:r>
        <w:t>评定为大中修</w:t>
      </w:r>
      <w:r>
        <w:rPr>
          <w:rFonts w:hint="eastAsia"/>
        </w:rPr>
        <w:t>的</w:t>
      </w:r>
      <w:r>
        <w:t>，应会同围护结构系统和建筑装饰装修系统进行维修。</w:t>
      </w:r>
    </w:p>
    <w:p>
      <w:pPr>
        <w:pStyle w:val="216"/>
      </w:pPr>
      <w:r>
        <w:rPr>
          <w:rFonts w:hint="eastAsia"/>
        </w:rPr>
        <w:t>办公用房建筑投入使用时间较久，其外窗多为单层玻璃窗，不满足现行建筑节能有关规定，宜作为专项，进行系统、分批次改造。</w:t>
      </w:r>
    </w:p>
    <w:p>
      <w:pPr>
        <w:pStyle w:val="216"/>
      </w:pPr>
      <w:r>
        <w:t>围护结构节能系统维修、更新的设计和施工，应执行</w:t>
      </w:r>
      <w:r>
        <w:rPr>
          <w:rFonts w:hint="eastAsia"/>
        </w:rPr>
        <w:t>相关</w:t>
      </w:r>
      <w:r>
        <w:t>标准</w:t>
      </w:r>
      <w:r>
        <w:rPr>
          <w:rFonts w:hint="eastAsia"/>
        </w:rPr>
        <w:t>，具体包括GB</w:t>
      </w:r>
      <w:r>
        <w:t xml:space="preserve"> 50016</w:t>
      </w:r>
      <w:r>
        <w:rPr>
          <w:rFonts w:hint="eastAsia"/>
        </w:rPr>
        <w:t>、GB</w:t>
      </w:r>
      <w:r>
        <w:t xml:space="preserve"> 50108</w:t>
      </w:r>
      <w:r>
        <w:rPr>
          <w:rFonts w:hint="eastAsia"/>
        </w:rPr>
        <w:t>、</w:t>
      </w:r>
      <w:r>
        <w:t>CJJ 62</w:t>
      </w:r>
      <w:r>
        <w:rPr>
          <w:rFonts w:hint="eastAsia"/>
        </w:rPr>
        <w:t>、GB</w:t>
      </w:r>
      <w:r>
        <w:t xml:space="preserve"> 50210</w:t>
      </w:r>
      <w:r>
        <w:rPr>
          <w:rFonts w:hint="eastAsia"/>
        </w:rPr>
        <w:t>、</w:t>
      </w:r>
      <w:r>
        <w:t>JGJ 176</w:t>
      </w:r>
      <w:r>
        <w:rPr>
          <w:rFonts w:hint="eastAsia"/>
        </w:rPr>
        <w:t>、GB</w:t>
      </w:r>
      <w:r>
        <w:t xml:space="preserve"> 50411</w:t>
      </w:r>
      <w:r>
        <w:rPr>
          <w:rFonts w:hint="eastAsia"/>
        </w:rPr>
        <w:t>、GB</w:t>
      </w:r>
      <w:r>
        <w:t>/T 21086</w:t>
      </w:r>
      <w:r>
        <w:rPr>
          <w:rFonts w:hint="eastAsia"/>
        </w:rPr>
        <w:t>等</w:t>
      </w:r>
      <w:r>
        <w:t>。</w:t>
      </w:r>
    </w:p>
    <w:p>
      <w:pPr>
        <w:pStyle w:val="82"/>
        <w:spacing w:before="156" w:after="156"/>
      </w:pPr>
      <w:bookmarkStart w:id="628" w:name="_Toc404929829"/>
      <w:bookmarkStart w:id="629" w:name="_Toc404932230"/>
      <w:bookmarkStart w:id="630" w:name="_Toc441240404"/>
      <w:bookmarkStart w:id="631" w:name="_Toc31096"/>
      <w:bookmarkStart w:id="632" w:name="_Toc8257"/>
      <w:bookmarkStart w:id="633" w:name="_Toc21247"/>
      <w:bookmarkStart w:id="634" w:name="_Toc21286"/>
      <w:bookmarkStart w:id="635" w:name="_Toc16462"/>
      <w:bookmarkStart w:id="636" w:name="_Toc5137"/>
      <w:bookmarkStart w:id="637" w:name="_Toc27702"/>
      <w:bookmarkStart w:id="638" w:name="_Toc5385"/>
      <w:bookmarkStart w:id="639" w:name="_Toc30731"/>
      <w:bookmarkStart w:id="640" w:name="_Toc32283"/>
      <w:bookmarkStart w:id="641" w:name="_Toc241609847"/>
      <w:bookmarkStart w:id="642" w:name="_Toc241610363"/>
      <w:bookmarkStart w:id="643" w:name="_Toc3940"/>
      <w:bookmarkStart w:id="644" w:name="_Toc30"/>
      <w:bookmarkStart w:id="645" w:name="_Toc17224"/>
      <w:bookmarkStart w:id="646" w:name="_Toc14832"/>
      <w:r>
        <w:rPr>
          <w:rFonts w:hint="eastAsia"/>
        </w:rPr>
        <w:t>建筑设备节能</w:t>
      </w:r>
      <w:bookmarkEnd w:id="628"/>
      <w:bookmarkEnd w:id="629"/>
      <w:bookmarkEnd w:id="630"/>
      <w:r>
        <w:rPr>
          <w:rFonts w:hint="eastAsia"/>
        </w:rPr>
        <w:t>维修</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216"/>
      </w:pPr>
      <w:r>
        <w:t>建筑中所使用设备的性能及节能效率应符合国家现行有关标准的规定。</w:t>
      </w:r>
    </w:p>
    <w:p>
      <w:pPr>
        <w:pStyle w:val="216"/>
      </w:pPr>
      <w:r>
        <w:t>筑设备节能的保养检查周期宜与其他各系统检查周期一致，还应符合设备的使用维护要求。</w:t>
      </w:r>
    </w:p>
    <w:p>
      <w:pPr>
        <w:pStyle w:val="216"/>
      </w:pPr>
      <w:r>
        <w:t>建筑设备的检查结果应根据具备专业检查资质单位所出具的报告进行评定，并应结合设备所应用的系统进行综合评定。</w:t>
      </w:r>
    </w:p>
    <w:p>
      <w:pPr>
        <w:pStyle w:val="216"/>
      </w:pPr>
      <w:r>
        <w:t>建筑设备节能的大中修应与其他相关系统同时进行。</w:t>
      </w:r>
    </w:p>
    <w:p>
      <w:pPr>
        <w:pStyle w:val="216"/>
      </w:pPr>
      <w:r>
        <w:t>建筑设备节能的维修、更新的设计与施工应符合相关标准。</w:t>
      </w:r>
    </w:p>
    <w:p>
      <w:pPr>
        <w:pStyle w:val="60"/>
        <w:ind w:firstLine="420"/>
      </w:pPr>
    </w:p>
    <w:p>
      <w:pPr>
        <w:pStyle w:val="60"/>
        <w:ind w:firstLine="420"/>
      </w:pPr>
    </w:p>
    <w:p>
      <w:pPr>
        <w:pStyle w:val="60"/>
        <w:ind w:firstLine="420"/>
      </w:pPr>
    </w:p>
    <w:p>
      <w:pPr>
        <w:pStyle w:val="60"/>
        <w:ind w:firstLine="420"/>
      </w:pPr>
    </w:p>
    <w:p>
      <w:pPr>
        <w:pStyle w:val="60"/>
        <w:ind w:firstLine="420"/>
        <w:sectPr>
          <w:pgSz w:w="11906" w:h="16838"/>
          <w:pgMar w:top="1928" w:right="1134" w:bottom="1134" w:left="1134" w:header="1418" w:footer="1134" w:gutter="284"/>
          <w:cols w:space="425" w:num="1"/>
          <w:formProt w:val="0"/>
          <w:docGrid w:type="lines" w:linePitch="312" w:charSpace="0"/>
        </w:sectPr>
      </w:pPr>
    </w:p>
    <w:p>
      <w:pPr>
        <w:pStyle w:val="202"/>
        <w:rPr>
          <w:rFonts w:hint="eastAsia"/>
        </w:rPr>
      </w:pPr>
    </w:p>
    <w:p>
      <w:pPr>
        <w:pStyle w:val="203"/>
      </w:pPr>
    </w:p>
    <w:p>
      <w:pPr>
        <w:pStyle w:val="80"/>
        <w:spacing w:before="78" w:after="156"/>
      </w:pPr>
      <w:bookmarkStart w:id="647" w:name="_Toc26721"/>
      <w:r>
        <w:rPr>
          <w:rFonts w:hint="eastAsia"/>
        </w:rPr>
        <w:br w:type="textWrapping"/>
      </w:r>
      <w:bookmarkStart w:id="648" w:name="_Toc241610364"/>
      <w:bookmarkStart w:id="649" w:name="_Toc241609848"/>
      <w:r>
        <w:rPr>
          <w:rFonts w:hint="eastAsia"/>
        </w:rPr>
        <w:t>（规范性）</w:t>
      </w:r>
      <w:r>
        <w:rPr>
          <w:rFonts w:hint="eastAsia"/>
        </w:rPr>
        <w:br w:type="textWrapping"/>
      </w:r>
      <w:r>
        <w:rPr>
          <w:rFonts w:hint="eastAsia"/>
        </w:rPr>
        <w:t>办公区附属设施检查、维修与验收技术要求</w:t>
      </w:r>
      <w:bookmarkEnd w:id="647"/>
      <w:bookmarkEnd w:id="648"/>
      <w:bookmarkEnd w:id="649"/>
    </w:p>
    <w:p>
      <w:pPr>
        <w:pStyle w:val="82"/>
        <w:spacing w:before="156" w:after="156"/>
      </w:pPr>
      <w:bookmarkStart w:id="650" w:name="_Toc6915"/>
      <w:bookmarkStart w:id="651" w:name="_Toc17378"/>
      <w:bookmarkStart w:id="652" w:name="_Toc14890"/>
      <w:bookmarkStart w:id="653" w:name="_Toc17973"/>
      <w:bookmarkStart w:id="654" w:name="_Toc10066"/>
      <w:bookmarkStart w:id="655" w:name="_Toc17746"/>
      <w:bookmarkStart w:id="656" w:name="_Toc404932236"/>
      <w:bookmarkStart w:id="657" w:name="_Toc17508"/>
      <w:bookmarkStart w:id="658" w:name="_Toc19570"/>
      <w:bookmarkStart w:id="659" w:name="_Toc16038"/>
      <w:bookmarkStart w:id="660" w:name="_Toc14515"/>
      <w:bookmarkStart w:id="661" w:name="_Toc13047"/>
      <w:bookmarkStart w:id="662" w:name="_Toc241610365"/>
      <w:bookmarkStart w:id="663" w:name="_Toc12204"/>
      <w:bookmarkStart w:id="664" w:name="_Toc404929835"/>
      <w:bookmarkStart w:id="665" w:name="_Toc15629"/>
      <w:bookmarkStart w:id="666" w:name="_Toc441240410"/>
      <w:bookmarkStart w:id="667" w:name="_Toc241609849"/>
      <w:bookmarkStart w:id="668" w:name="_Toc12482"/>
      <w:r>
        <w:rPr>
          <w:rFonts w:hint="eastAsia"/>
        </w:rPr>
        <w:t>一般规定</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216"/>
      </w:pPr>
      <w:r>
        <w:rPr>
          <w:rFonts w:hint="eastAsia"/>
        </w:rPr>
        <w:t>为保障办公用房使用功能实现，办公用房区室外的管网（如给排水管网、电气管网、空调管网等）、构筑物（如化粪池、地下式垃圾站等）、室外道路停车棚（如单车棚、停车场等），作为办公用房的附属设施，原则上纳入办公用房维修范围。本标准着重办公区室外管网的检查、评定和维修。</w:t>
      </w:r>
    </w:p>
    <w:p>
      <w:pPr>
        <w:pStyle w:val="216"/>
      </w:pPr>
      <w:r>
        <w:t>办公区附属设施的检查，分为日常检查和综合检查</w:t>
      </w:r>
      <w:r>
        <w:rPr>
          <w:rFonts w:hint="eastAsia"/>
        </w:rPr>
        <w:t>，由使用单位组织实施</w:t>
      </w:r>
      <w:r>
        <w:t>。</w:t>
      </w:r>
    </w:p>
    <w:p>
      <w:pPr>
        <w:pStyle w:val="216"/>
      </w:pPr>
      <w:r>
        <w:t>除特殊情况外，办公区附属设施的大中</w:t>
      </w:r>
      <w:r>
        <w:rPr>
          <w:rFonts w:hint="eastAsia"/>
        </w:rPr>
        <w:t>小</w:t>
      </w:r>
      <w:r>
        <w:t>修，宜与其他相关系统的大中</w:t>
      </w:r>
      <w:r>
        <w:rPr>
          <w:rFonts w:hint="eastAsia"/>
        </w:rPr>
        <w:t>小</w:t>
      </w:r>
      <w:r>
        <w:t>修同时进行安排。</w:t>
      </w:r>
    </w:p>
    <w:p>
      <w:pPr>
        <w:pStyle w:val="216"/>
      </w:pPr>
      <w:r>
        <w:t>经大中</w:t>
      </w:r>
      <w:r>
        <w:rPr>
          <w:rFonts w:hint="eastAsia"/>
        </w:rPr>
        <w:t>小</w:t>
      </w:r>
      <w:r>
        <w:t>修的项目，其主要材料、设备、器具的性能及节能的效率应符合国家现行有关标准的规定；预期的正常使用年限不宜低于其设备的主要零件使用寿命。</w:t>
      </w:r>
    </w:p>
    <w:p>
      <w:pPr>
        <w:pStyle w:val="82"/>
        <w:spacing w:before="156" w:after="156"/>
      </w:pPr>
      <w:bookmarkStart w:id="669" w:name="_Toc441240411"/>
      <w:bookmarkStart w:id="670" w:name="_Toc20561"/>
      <w:bookmarkStart w:id="671" w:name="_Toc11627"/>
      <w:bookmarkStart w:id="672" w:name="_Toc23016"/>
      <w:bookmarkStart w:id="673" w:name="_Toc404929836"/>
      <w:bookmarkStart w:id="674" w:name="_Toc7155"/>
      <w:bookmarkStart w:id="675" w:name="_Toc404932237"/>
      <w:bookmarkStart w:id="676" w:name="_Toc4280"/>
      <w:bookmarkStart w:id="677" w:name="_Toc20036"/>
      <w:bookmarkStart w:id="678" w:name="_Toc241609850"/>
      <w:bookmarkStart w:id="679" w:name="_Toc25459"/>
      <w:bookmarkStart w:id="680" w:name="_Toc28393"/>
      <w:bookmarkStart w:id="681" w:name="_Toc2951"/>
      <w:bookmarkStart w:id="682" w:name="_Toc12038"/>
      <w:bookmarkStart w:id="683" w:name="_Toc24337"/>
      <w:bookmarkStart w:id="684" w:name="_Toc2497"/>
      <w:bookmarkStart w:id="685" w:name="_Toc10459"/>
      <w:bookmarkStart w:id="686" w:name="_Toc22396"/>
      <w:bookmarkStart w:id="687" w:name="_Toc241610366"/>
      <w:r>
        <w:rPr>
          <w:rFonts w:hint="eastAsia"/>
        </w:rPr>
        <w:t>办公用房区室外管网维修</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216"/>
      </w:pPr>
      <w:r>
        <w:t>办公区管网包括室外给排水管网、室外供热管网、室外供冷管网、室外电力管道以及室外消防管道。</w:t>
      </w:r>
    </w:p>
    <w:p>
      <w:pPr>
        <w:pStyle w:val="216"/>
      </w:pPr>
      <w:r>
        <w:rPr>
          <w:rFonts w:hint="eastAsia"/>
        </w:rPr>
        <w:t>室外</w:t>
      </w:r>
      <w:r>
        <w:t>管网的检查周期应根据各系统运行情况与给排水系统、供暖系统、通风与空调系统、电气系统及建筑消防系统同时进行。</w:t>
      </w:r>
    </w:p>
    <w:p>
      <w:pPr>
        <w:pStyle w:val="216"/>
      </w:pPr>
      <w:r>
        <w:t>办公区各</w:t>
      </w:r>
      <w:r>
        <w:rPr>
          <w:rFonts w:hint="eastAsia"/>
        </w:rPr>
        <w:t>室外</w:t>
      </w:r>
      <w:r>
        <w:t>管网的使用中，若发现经常出现使用功能故障、存在安全隐患、耗能耗水严重的情况时，应及时组织检查与分析。</w:t>
      </w:r>
    </w:p>
    <w:p>
      <w:pPr>
        <w:pStyle w:val="216"/>
      </w:pPr>
      <w:r>
        <w:t>办公区各</w:t>
      </w:r>
      <w:r>
        <w:rPr>
          <w:rFonts w:hint="eastAsia"/>
        </w:rPr>
        <w:t>室外</w:t>
      </w:r>
      <w:r>
        <w:t>管网的检查项目包括</w:t>
      </w:r>
      <w:r>
        <w:rPr>
          <w:rFonts w:hint="eastAsia"/>
        </w:rPr>
        <w:t>功能类和安全类2种，检查项目内容如表K.1。</w:t>
      </w:r>
    </w:p>
    <w:p>
      <w:pPr>
        <w:pStyle w:val="81"/>
        <w:spacing w:before="156" w:after="156"/>
      </w:pP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677"/>
        <w:gridCol w:w="1294"/>
        <w:gridCol w:w="758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677" w:type="dxa"/>
            <w:tcBorders>
              <w:bottom w:val="single" w:color="auto" w:sz="8" w:space="0"/>
            </w:tcBorders>
            <w:vAlign w:val="center"/>
          </w:tcPr>
          <w:p>
            <w:pPr>
              <w:pStyle w:val="182"/>
            </w:pPr>
            <w:r>
              <w:rPr>
                <w:rFonts w:hint="eastAsia"/>
              </w:rPr>
              <w:t>序号</w:t>
            </w:r>
          </w:p>
        </w:tc>
        <w:tc>
          <w:tcPr>
            <w:tcW w:w="1294" w:type="dxa"/>
            <w:tcBorders>
              <w:bottom w:val="single" w:color="auto" w:sz="8" w:space="0"/>
            </w:tcBorders>
            <w:vAlign w:val="center"/>
          </w:tcPr>
          <w:p>
            <w:pPr>
              <w:pStyle w:val="182"/>
            </w:pPr>
            <w:r>
              <w:rPr>
                <w:rFonts w:hint="eastAsia"/>
              </w:rPr>
              <w:t>检查类别</w:t>
            </w:r>
          </w:p>
        </w:tc>
        <w:tc>
          <w:tcPr>
            <w:tcW w:w="7583" w:type="dxa"/>
            <w:tcBorders>
              <w:bottom w:val="single" w:color="auto" w:sz="8" w:space="0"/>
            </w:tcBorders>
            <w:vAlign w:val="center"/>
          </w:tcPr>
          <w:p>
            <w:pPr>
              <w:pStyle w:val="182"/>
            </w:pPr>
            <w:r>
              <w:rPr>
                <w:rFonts w:hint="eastAsia"/>
              </w:rPr>
              <w:t>检查内容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77" w:type="dxa"/>
            <w:tcBorders>
              <w:top w:val="single" w:color="auto" w:sz="8" w:space="0"/>
            </w:tcBorders>
            <w:vAlign w:val="center"/>
          </w:tcPr>
          <w:p>
            <w:pPr>
              <w:pStyle w:val="182"/>
            </w:pPr>
            <w:r>
              <w:rPr>
                <w:rFonts w:hint="eastAsia"/>
              </w:rPr>
              <w:t>1</w:t>
            </w:r>
          </w:p>
        </w:tc>
        <w:tc>
          <w:tcPr>
            <w:tcW w:w="1294" w:type="dxa"/>
            <w:tcBorders>
              <w:top w:val="single" w:color="auto" w:sz="8" w:space="0"/>
            </w:tcBorders>
            <w:vAlign w:val="center"/>
          </w:tcPr>
          <w:p>
            <w:pPr>
              <w:pStyle w:val="182"/>
            </w:pPr>
            <w:r>
              <w:rPr>
                <w:rFonts w:hint="eastAsia"/>
              </w:rPr>
              <w:t>功能类</w:t>
            </w:r>
          </w:p>
        </w:tc>
        <w:tc>
          <w:tcPr>
            <w:tcW w:w="7583" w:type="dxa"/>
            <w:tcBorders>
              <w:top w:val="single" w:color="auto" w:sz="8" w:space="0"/>
            </w:tcBorders>
            <w:vAlign w:val="center"/>
          </w:tcPr>
          <w:p>
            <w:pPr>
              <w:pStyle w:val="182"/>
              <w:jc w:val="left"/>
            </w:pPr>
            <w:r>
              <w:rPr>
                <w:rFonts w:hint="eastAsia"/>
              </w:rPr>
              <w:t>室外管道井、管道的防腐、绝热、阀门有效性、管网水力平衡度。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677" w:type="dxa"/>
            <w:vAlign w:val="center"/>
          </w:tcPr>
          <w:p>
            <w:pPr>
              <w:pStyle w:val="182"/>
            </w:pPr>
            <w:r>
              <w:rPr>
                <w:rFonts w:hint="eastAsia"/>
              </w:rPr>
              <w:t>2</w:t>
            </w:r>
          </w:p>
        </w:tc>
        <w:tc>
          <w:tcPr>
            <w:tcW w:w="1294" w:type="dxa"/>
            <w:vAlign w:val="center"/>
          </w:tcPr>
          <w:p>
            <w:pPr>
              <w:pStyle w:val="182"/>
            </w:pPr>
            <w:r>
              <w:rPr>
                <w:rFonts w:hint="eastAsia"/>
              </w:rPr>
              <w:t>安全类</w:t>
            </w:r>
          </w:p>
        </w:tc>
        <w:tc>
          <w:tcPr>
            <w:tcW w:w="7583" w:type="dxa"/>
            <w:vAlign w:val="center"/>
          </w:tcPr>
          <w:p>
            <w:pPr>
              <w:pStyle w:val="182"/>
              <w:jc w:val="left"/>
            </w:pPr>
            <w:r>
              <w:rPr>
                <w:rFonts w:hint="eastAsia"/>
              </w:rPr>
              <w:t>水压试验、管道防腐、管道壁厚。</w:t>
            </w:r>
          </w:p>
        </w:tc>
      </w:tr>
    </w:tbl>
    <w:p>
      <w:pPr>
        <w:pStyle w:val="216"/>
      </w:pPr>
      <w:r>
        <w:rPr>
          <w:rFonts w:hint="eastAsia"/>
        </w:rPr>
        <w:t>室外</w:t>
      </w:r>
      <w:r>
        <w:t>管网的检查结果评定，应按下列规定进行：</w:t>
      </w:r>
    </w:p>
    <w:p>
      <w:pPr>
        <w:pStyle w:val="178"/>
        <w:numPr>
          <w:ilvl w:val="0"/>
          <w:numId w:val="118"/>
        </w:numPr>
      </w:pPr>
      <w:r>
        <w:rPr>
          <w:rFonts w:hint="eastAsia"/>
        </w:rPr>
        <w:t>检测项目中的水压试验不合格致使系统无法正常运行时，评定为大中修；</w:t>
      </w:r>
    </w:p>
    <w:p>
      <w:pPr>
        <w:pStyle w:val="178"/>
        <w:numPr>
          <w:ilvl w:val="0"/>
          <w:numId w:val="118"/>
        </w:numPr>
      </w:pPr>
      <w:r>
        <w:rPr>
          <w:rFonts w:hint="eastAsia"/>
        </w:rPr>
        <w:t>检测项目中阀门存在水渍滴漏或关闭不严的数量大于抽查数量30%时，评定为大中修；</w:t>
      </w:r>
    </w:p>
    <w:p>
      <w:pPr>
        <w:pStyle w:val="178"/>
        <w:numPr>
          <w:ilvl w:val="0"/>
          <w:numId w:val="118"/>
        </w:numPr>
      </w:pPr>
      <w:r>
        <w:rPr>
          <w:rFonts w:hint="eastAsia"/>
        </w:rPr>
        <w:t>检测项目中管道壁厚不符合设计要求的面积大于抽查面积的10%时，评定为大中修；</w:t>
      </w:r>
    </w:p>
    <w:p>
      <w:pPr>
        <w:pStyle w:val="178"/>
        <w:numPr>
          <w:ilvl w:val="0"/>
          <w:numId w:val="118"/>
        </w:numPr>
      </w:pPr>
      <w:r>
        <w:rPr>
          <w:rFonts w:hint="eastAsia"/>
        </w:rPr>
        <w:t>除以上情况外，如其他检查项目存在问题时，则评定为日常维修。</w:t>
      </w:r>
    </w:p>
    <w:p>
      <w:pPr>
        <w:pStyle w:val="216"/>
        <w:sectPr>
          <w:pgSz w:w="11906" w:h="16838"/>
          <w:pgMar w:top="1928" w:right="1134" w:bottom="1134" w:left="1134" w:header="1418" w:footer="1134" w:gutter="284"/>
          <w:cols w:space="425" w:num="1"/>
          <w:formProt w:val="0"/>
          <w:docGrid w:type="lines" w:linePitch="312" w:charSpace="0"/>
        </w:sectPr>
      </w:pPr>
      <w:r>
        <w:rPr>
          <w:rFonts w:hint="eastAsia"/>
        </w:rPr>
        <w:t>室外</w:t>
      </w:r>
      <w:r>
        <w:t>管网维修、更新的设计和施工，应执行</w:t>
      </w:r>
      <w:r>
        <w:rPr>
          <w:rFonts w:hint="eastAsia"/>
        </w:rPr>
        <w:t>相关</w:t>
      </w:r>
      <w:r>
        <w:t>标准</w:t>
      </w:r>
      <w:r>
        <w:rPr>
          <w:rFonts w:hint="eastAsia"/>
        </w:rPr>
        <w:t>，具体包括GB</w:t>
      </w:r>
      <w:r>
        <w:t xml:space="preserve"> 50015</w:t>
      </w:r>
      <w:r>
        <w:rPr>
          <w:rFonts w:hint="eastAsia"/>
        </w:rPr>
        <w:t>、GB</w:t>
      </w:r>
      <w:r>
        <w:t xml:space="preserve"> 50014</w:t>
      </w:r>
      <w:r>
        <w:rPr>
          <w:rFonts w:hint="eastAsia"/>
        </w:rPr>
        <w:t>、GB</w:t>
      </w:r>
      <w:r>
        <w:t xml:space="preserve"> 50268</w:t>
      </w:r>
      <w:r>
        <w:rPr>
          <w:rFonts w:hint="eastAsia"/>
        </w:rPr>
        <w:t>、GB</w:t>
      </w:r>
      <w:r>
        <w:t xml:space="preserve"> 50736</w:t>
      </w:r>
      <w:r>
        <w:rPr>
          <w:rFonts w:hint="eastAsia"/>
        </w:rPr>
        <w:t>、GB</w:t>
      </w:r>
      <w:r>
        <w:t xml:space="preserve"> 50738</w:t>
      </w:r>
      <w:r>
        <w:rPr>
          <w:rFonts w:hint="eastAsia"/>
        </w:rPr>
        <w:t>、GB</w:t>
      </w:r>
      <w:r>
        <w:t xml:space="preserve"> 50242</w:t>
      </w:r>
      <w:r>
        <w:rPr>
          <w:rFonts w:hint="eastAsia"/>
        </w:rPr>
        <w:t>等。</w:t>
      </w:r>
    </w:p>
    <w:p>
      <w:pPr>
        <w:pStyle w:val="202"/>
        <w:rPr>
          <w:rFonts w:hint="eastAsia"/>
        </w:rPr>
      </w:pPr>
    </w:p>
    <w:p>
      <w:pPr>
        <w:pStyle w:val="203"/>
      </w:pPr>
    </w:p>
    <w:p>
      <w:pPr>
        <w:pStyle w:val="80"/>
        <w:spacing w:before="78" w:after="156"/>
      </w:pPr>
      <w:bookmarkStart w:id="688" w:name="_Toc7198"/>
      <w:r>
        <w:br w:type="textWrapping"/>
      </w:r>
      <w:bookmarkStart w:id="689" w:name="_Toc241609851"/>
      <w:bookmarkStart w:id="690" w:name="_Toc241610367"/>
      <w:r>
        <w:rPr>
          <w:rFonts w:hint="eastAsia"/>
        </w:rPr>
        <w:t>（规范性）</w:t>
      </w:r>
      <w:r>
        <w:rPr>
          <w:rFonts w:hint="eastAsia"/>
        </w:rPr>
        <w:br w:type="textWrapping"/>
      </w:r>
      <w:r>
        <w:rPr>
          <w:rFonts w:hint="eastAsia"/>
        </w:rPr>
        <w:t>办公用房维修工程造价估算控制要求</w:t>
      </w:r>
      <w:bookmarkEnd w:id="688"/>
      <w:bookmarkEnd w:id="689"/>
      <w:bookmarkEnd w:id="690"/>
    </w:p>
    <w:p>
      <w:pPr>
        <w:pStyle w:val="82"/>
        <w:spacing w:before="156" w:after="156"/>
      </w:pPr>
      <w:bookmarkStart w:id="691" w:name="_Toc241609852"/>
      <w:bookmarkStart w:id="692" w:name="_Toc241610368"/>
      <w:bookmarkStart w:id="693" w:name="_Toc12825"/>
      <w:r>
        <w:rPr>
          <w:rFonts w:hint="eastAsia"/>
        </w:rPr>
        <w:t>室内综合维修</w:t>
      </w:r>
      <w:bookmarkEnd w:id="691"/>
      <w:bookmarkEnd w:id="692"/>
      <w:bookmarkEnd w:id="693"/>
    </w:p>
    <w:p>
      <w:pPr>
        <w:pStyle w:val="60"/>
        <w:ind w:firstLine="420"/>
        <w:rPr>
          <w:rFonts w:hint="eastAsia"/>
        </w:rPr>
      </w:pPr>
      <w:r>
        <w:rPr>
          <w:rFonts w:hint="eastAsia"/>
        </w:rPr>
        <w:t>办公用房室内综合维修造价控制按表L.1执行。</w:t>
      </w:r>
    </w:p>
    <w:p>
      <w:pPr>
        <w:pStyle w:val="81"/>
        <w:spacing w:before="156" w:after="156"/>
      </w:pPr>
      <w:r>
        <w:rPr>
          <w:rFonts w:hint="eastAsia"/>
        </w:rPr>
        <w:t>办公用房室内综合维修造价控制表</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1172"/>
        <w:gridCol w:w="3504"/>
        <w:gridCol w:w="2339"/>
        <w:gridCol w:w="233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tblHeader/>
          <w:jc w:val="center"/>
        </w:trPr>
        <w:tc>
          <w:tcPr>
            <w:tcW w:w="1172" w:type="dxa"/>
            <w:tcBorders>
              <w:bottom w:val="single" w:color="auto" w:sz="8" w:space="0"/>
            </w:tcBorders>
          </w:tcPr>
          <w:p>
            <w:pPr>
              <w:jc w:val="center"/>
              <w:rPr>
                <w:rFonts w:ascii="宋体" w:hAnsi="宋体" w:cs="宋体"/>
              </w:rPr>
            </w:pPr>
            <w:r>
              <w:rPr>
                <w:rFonts w:hint="eastAsia" w:ascii="宋体" w:hAnsi="宋体" w:cs="宋体"/>
              </w:rPr>
              <w:t>序号</w:t>
            </w:r>
          </w:p>
        </w:tc>
        <w:tc>
          <w:tcPr>
            <w:tcW w:w="3504" w:type="dxa"/>
            <w:tcBorders>
              <w:bottom w:val="single" w:color="auto" w:sz="8" w:space="0"/>
            </w:tcBorders>
          </w:tcPr>
          <w:p>
            <w:pPr>
              <w:jc w:val="center"/>
              <w:rPr>
                <w:rFonts w:ascii="宋体" w:hAnsi="宋体" w:cs="宋体"/>
              </w:rPr>
            </w:pPr>
            <w:r>
              <w:rPr>
                <w:rFonts w:hint="eastAsia" w:ascii="宋体" w:hAnsi="宋体" w:cs="宋体"/>
              </w:rPr>
              <w:t>维修功能区</w:t>
            </w:r>
          </w:p>
        </w:tc>
        <w:tc>
          <w:tcPr>
            <w:tcW w:w="2339" w:type="dxa"/>
            <w:tcBorders>
              <w:bottom w:val="single" w:color="auto" w:sz="8" w:space="0"/>
            </w:tcBorders>
          </w:tcPr>
          <w:p>
            <w:pPr>
              <w:jc w:val="center"/>
              <w:rPr>
                <w:rFonts w:ascii="宋体" w:hAnsi="宋体" w:cs="宋体"/>
              </w:rPr>
            </w:pPr>
            <w:r>
              <w:rPr>
                <w:rFonts w:hint="eastAsia" w:ascii="宋体" w:hAnsi="宋体" w:cs="宋体"/>
              </w:rPr>
              <w:t>最高控制价（元/㎡）</w:t>
            </w:r>
          </w:p>
        </w:tc>
        <w:tc>
          <w:tcPr>
            <w:tcW w:w="2339" w:type="dxa"/>
            <w:tcBorders>
              <w:bottom w:val="single" w:color="auto" w:sz="8" w:space="0"/>
            </w:tcBorders>
          </w:tcPr>
          <w:p>
            <w:pPr>
              <w:jc w:val="center"/>
              <w:rPr>
                <w:rFonts w:ascii="宋体" w:hAnsi="宋体" w:cs="宋体"/>
              </w:rPr>
            </w:pPr>
            <w:r>
              <w:rPr>
                <w:rFonts w:hint="eastAsia" w:ascii="宋体" w:hAnsi="宋体" w:cs="宋体"/>
              </w:rPr>
              <w:t>最低使用年限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172" w:type="dxa"/>
            <w:tcBorders>
              <w:top w:val="single" w:color="auto" w:sz="8" w:space="0"/>
            </w:tcBorders>
          </w:tcPr>
          <w:p>
            <w:pPr>
              <w:jc w:val="center"/>
              <w:rPr>
                <w:rFonts w:ascii="宋体" w:hAnsi="宋体" w:cs="宋体"/>
              </w:rPr>
            </w:pPr>
            <w:r>
              <w:rPr>
                <w:rFonts w:hint="eastAsia" w:ascii="宋体" w:hAnsi="宋体" w:cs="宋体"/>
              </w:rPr>
              <w:t>1</w:t>
            </w:r>
          </w:p>
        </w:tc>
        <w:tc>
          <w:tcPr>
            <w:tcW w:w="3504" w:type="dxa"/>
            <w:tcBorders>
              <w:top w:val="single" w:color="auto" w:sz="8" w:space="0"/>
            </w:tcBorders>
          </w:tcPr>
          <w:p>
            <w:pPr>
              <w:jc w:val="center"/>
              <w:rPr>
                <w:rFonts w:ascii="宋体" w:hAnsi="宋体" w:cs="宋体"/>
              </w:rPr>
            </w:pPr>
            <w:r>
              <w:rPr>
                <w:rFonts w:hint="eastAsia" w:ascii="宋体" w:hAnsi="宋体" w:cs="宋体"/>
              </w:rPr>
              <w:t>办公楼综合</w:t>
            </w:r>
          </w:p>
        </w:tc>
        <w:tc>
          <w:tcPr>
            <w:tcW w:w="2339" w:type="dxa"/>
            <w:tcBorders>
              <w:top w:val="single" w:color="auto" w:sz="8" w:space="0"/>
            </w:tcBorders>
          </w:tcPr>
          <w:p>
            <w:pPr>
              <w:jc w:val="center"/>
              <w:rPr>
                <w:rFonts w:ascii="宋体" w:hAnsi="宋体" w:cs="宋体"/>
              </w:rPr>
            </w:pPr>
            <w:r>
              <w:rPr>
                <w:rFonts w:hint="eastAsia" w:ascii="宋体" w:hAnsi="宋体" w:cs="宋体"/>
              </w:rPr>
              <w:t>1200</w:t>
            </w:r>
          </w:p>
        </w:tc>
        <w:tc>
          <w:tcPr>
            <w:tcW w:w="2339" w:type="dxa"/>
            <w:tcBorders>
              <w:top w:val="single" w:color="auto" w:sz="8" w:space="0"/>
            </w:tcBorders>
          </w:tcPr>
          <w:p>
            <w:pPr>
              <w:jc w:val="center"/>
              <w:rPr>
                <w:rFonts w:ascii="宋体" w:hAnsi="宋体" w:cs="宋体"/>
              </w:rPr>
            </w:pPr>
            <w:r>
              <w:rPr>
                <w:rFonts w:hint="eastAsia" w:ascii="宋体" w:hAnsi="宋体" w:cs="宋体"/>
              </w:rPr>
              <w:t>1</w:t>
            </w:r>
            <w:r>
              <w:rPr>
                <w:rFonts w:ascii="宋体" w:hAnsi="宋体" w:cs="宋体"/>
              </w:rPr>
              <w:t>5</w:t>
            </w:r>
            <w:r>
              <w:rPr>
                <w:rFonts w:hint="eastAsia" w:ascii="宋体" w:hAnsi="宋体" w:cs="宋体"/>
              </w:rPr>
              <w:t>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172" w:type="dxa"/>
          </w:tcPr>
          <w:p>
            <w:pPr>
              <w:jc w:val="center"/>
              <w:rPr>
                <w:rFonts w:ascii="宋体" w:hAnsi="宋体" w:cs="宋体"/>
              </w:rPr>
            </w:pPr>
            <w:r>
              <w:rPr>
                <w:rFonts w:hint="eastAsia" w:ascii="宋体" w:hAnsi="宋体" w:cs="宋体"/>
              </w:rPr>
              <w:t>2</w:t>
            </w:r>
          </w:p>
        </w:tc>
        <w:tc>
          <w:tcPr>
            <w:tcW w:w="3504" w:type="dxa"/>
          </w:tcPr>
          <w:p>
            <w:pPr>
              <w:jc w:val="center"/>
              <w:rPr>
                <w:rFonts w:ascii="宋体" w:hAnsi="宋体" w:cs="宋体"/>
              </w:rPr>
            </w:pPr>
            <w:r>
              <w:rPr>
                <w:rFonts w:hint="eastAsia" w:ascii="宋体" w:hAnsi="宋体" w:cs="宋体"/>
              </w:rPr>
              <w:t>大   厅</w:t>
            </w:r>
          </w:p>
        </w:tc>
        <w:tc>
          <w:tcPr>
            <w:tcW w:w="2339" w:type="dxa"/>
          </w:tcPr>
          <w:p>
            <w:pPr>
              <w:jc w:val="center"/>
              <w:rPr>
                <w:rFonts w:ascii="宋体" w:hAnsi="宋体" w:cs="宋体"/>
              </w:rPr>
            </w:pPr>
            <w:r>
              <w:rPr>
                <w:rFonts w:hint="eastAsia" w:ascii="宋体" w:hAnsi="宋体" w:cs="宋体"/>
              </w:rPr>
              <w:t>1500</w:t>
            </w:r>
          </w:p>
        </w:tc>
        <w:tc>
          <w:tcPr>
            <w:tcW w:w="2339" w:type="dxa"/>
          </w:tcPr>
          <w:p>
            <w:pPr>
              <w:jc w:val="center"/>
              <w:rPr>
                <w:rFonts w:ascii="宋体" w:hAnsi="宋体" w:cs="宋体"/>
              </w:rPr>
            </w:pPr>
            <w:r>
              <w:rPr>
                <w:rFonts w:hint="eastAsia"/>
              </w:rPr>
              <w:t>15年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172" w:type="dxa"/>
          </w:tcPr>
          <w:p>
            <w:pPr>
              <w:jc w:val="center"/>
              <w:rPr>
                <w:rFonts w:ascii="宋体" w:hAnsi="宋体" w:cs="宋体"/>
              </w:rPr>
            </w:pPr>
            <w:r>
              <w:rPr>
                <w:rFonts w:hint="eastAsia" w:ascii="宋体" w:hAnsi="宋体" w:cs="宋体"/>
              </w:rPr>
              <w:t>3</w:t>
            </w:r>
          </w:p>
        </w:tc>
        <w:tc>
          <w:tcPr>
            <w:tcW w:w="3504" w:type="dxa"/>
          </w:tcPr>
          <w:p>
            <w:pPr>
              <w:jc w:val="center"/>
              <w:rPr>
                <w:rFonts w:ascii="宋体" w:hAnsi="宋体" w:cs="宋体"/>
              </w:rPr>
            </w:pPr>
            <w:r>
              <w:rPr>
                <w:rFonts w:hint="eastAsia" w:ascii="宋体" w:hAnsi="宋体" w:cs="宋体"/>
              </w:rPr>
              <w:t>公共走道</w:t>
            </w:r>
          </w:p>
        </w:tc>
        <w:tc>
          <w:tcPr>
            <w:tcW w:w="2339" w:type="dxa"/>
          </w:tcPr>
          <w:p>
            <w:pPr>
              <w:jc w:val="center"/>
              <w:rPr>
                <w:rFonts w:ascii="宋体" w:hAnsi="宋体" w:cs="宋体"/>
              </w:rPr>
            </w:pPr>
            <w:r>
              <w:rPr>
                <w:rFonts w:hint="eastAsia" w:ascii="宋体" w:hAnsi="宋体" w:cs="宋体"/>
              </w:rPr>
              <w:t>900</w:t>
            </w:r>
          </w:p>
        </w:tc>
        <w:tc>
          <w:tcPr>
            <w:tcW w:w="2339" w:type="dxa"/>
          </w:tcPr>
          <w:p>
            <w:pPr>
              <w:jc w:val="center"/>
              <w:rPr>
                <w:rFonts w:ascii="宋体" w:hAnsi="宋体" w:cs="宋体"/>
              </w:rPr>
            </w:pPr>
            <w:r>
              <w:rPr>
                <w:rFonts w:hint="eastAsia"/>
              </w:rPr>
              <w:t>15年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172" w:type="dxa"/>
          </w:tcPr>
          <w:p>
            <w:pPr>
              <w:jc w:val="center"/>
              <w:rPr>
                <w:rFonts w:ascii="宋体" w:hAnsi="宋体" w:cs="宋体"/>
              </w:rPr>
            </w:pPr>
            <w:r>
              <w:rPr>
                <w:rFonts w:hint="eastAsia" w:ascii="宋体" w:hAnsi="宋体" w:cs="宋体"/>
              </w:rPr>
              <w:t>4</w:t>
            </w:r>
          </w:p>
        </w:tc>
        <w:tc>
          <w:tcPr>
            <w:tcW w:w="3504" w:type="dxa"/>
          </w:tcPr>
          <w:p>
            <w:pPr>
              <w:jc w:val="center"/>
              <w:rPr>
                <w:rFonts w:ascii="宋体" w:hAnsi="宋体" w:cs="宋体"/>
              </w:rPr>
            </w:pPr>
            <w:r>
              <w:rPr>
                <w:rFonts w:hint="eastAsia" w:ascii="宋体" w:hAnsi="宋体" w:cs="宋体"/>
              </w:rPr>
              <w:t>会议室、接待室</w:t>
            </w:r>
          </w:p>
        </w:tc>
        <w:tc>
          <w:tcPr>
            <w:tcW w:w="2339" w:type="dxa"/>
          </w:tcPr>
          <w:p>
            <w:pPr>
              <w:jc w:val="center"/>
              <w:rPr>
                <w:rFonts w:ascii="宋体" w:hAnsi="宋体" w:cs="宋体"/>
              </w:rPr>
            </w:pPr>
            <w:r>
              <w:rPr>
                <w:rFonts w:hint="eastAsia" w:ascii="宋体" w:hAnsi="宋体" w:cs="宋体"/>
              </w:rPr>
              <w:t>1400</w:t>
            </w:r>
          </w:p>
        </w:tc>
        <w:tc>
          <w:tcPr>
            <w:tcW w:w="2339" w:type="dxa"/>
          </w:tcPr>
          <w:p>
            <w:pPr>
              <w:jc w:val="center"/>
              <w:rPr>
                <w:rFonts w:ascii="宋体" w:hAnsi="宋体" w:cs="宋体"/>
              </w:rPr>
            </w:pPr>
            <w:r>
              <w:rPr>
                <w:rFonts w:hint="eastAsia"/>
              </w:rPr>
              <w:t>15年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172" w:type="dxa"/>
          </w:tcPr>
          <w:p>
            <w:pPr>
              <w:jc w:val="center"/>
              <w:rPr>
                <w:rFonts w:ascii="宋体" w:hAnsi="宋体" w:cs="宋体"/>
              </w:rPr>
            </w:pPr>
            <w:r>
              <w:rPr>
                <w:rFonts w:hint="eastAsia" w:ascii="宋体" w:hAnsi="宋体" w:cs="宋体"/>
              </w:rPr>
              <w:t>5</w:t>
            </w:r>
          </w:p>
        </w:tc>
        <w:tc>
          <w:tcPr>
            <w:tcW w:w="3504" w:type="dxa"/>
          </w:tcPr>
          <w:p>
            <w:pPr>
              <w:jc w:val="center"/>
              <w:rPr>
                <w:rFonts w:ascii="宋体" w:hAnsi="宋体" w:cs="宋体"/>
              </w:rPr>
            </w:pPr>
            <w:r>
              <w:rPr>
                <w:rFonts w:hint="eastAsia" w:ascii="宋体" w:hAnsi="宋体" w:cs="宋体"/>
              </w:rPr>
              <w:t>办公室</w:t>
            </w:r>
          </w:p>
        </w:tc>
        <w:tc>
          <w:tcPr>
            <w:tcW w:w="2339" w:type="dxa"/>
          </w:tcPr>
          <w:p>
            <w:pPr>
              <w:jc w:val="center"/>
              <w:rPr>
                <w:rFonts w:ascii="宋体" w:hAnsi="宋体" w:cs="宋体"/>
              </w:rPr>
            </w:pPr>
            <w:r>
              <w:rPr>
                <w:rFonts w:hint="eastAsia" w:ascii="宋体" w:hAnsi="宋体" w:cs="宋体"/>
              </w:rPr>
              <w:t>900</w:t>
            </w:r>
          </w:p>
        </w:tc>
        <w:tc>
          <w:tcPr>
            <w:tcW w:w="2339" w:type="dxa"/>
          </w:tcPr>
          <w:p>
            <w:pPr>
              <w:jc w:val="center"/>
              <w:rPr>
                <w:rFonts w:ascii="宋体" w:hAnsi="宋体" w:cs="宋体"/>
              </w:rPr>
            </w:pPr>
            <w:r>
              <w:rPr>
                <w:rFonts w:hint="eastAsia"/>
              </w:rPr>
              <w:t>15年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1172" w:type="dxa"/>
          </w:tcPr>
          <w:p>
            <w:pPr>
              <w:jc w:val="center"/>
              <w:rPr>
                <w:rFonts w:ascii="宋体" w:hAnsi="宋体" w:cs="宋体"/>
              </w:rPr>
            </w:pPr>
            <w:r>
              <w:rPr>
                <w:rFonts w:hint="eastAsia" w:ascii="宋体" w:hAnsi="宋体" w:cs="宋体"/>
              </w:rPr>
              <w:t>6</w:t>
            </w:r>
          </w:p>
        </w:tc>
        <w:tc>
          <w:tcPr>
            <w:tcW w:w="3504" w:type="dxa"/>
          </w:tcPr>
          <w:p>
            <w:pPr>
              <w:jc w:val="center"/>
              <w:rPr>
                <w:rFonts w:ascii="宋体" w:hAnsi="宋体" w:cs="宋体"/>
              </w:rPr>
            </w:pPr>
            <w:r>
              <w:rPr>
                <w:rFonts w:hint="eastAsia" w:ascii="宋体" w:hAnsi="宋体" w:cs="宋体"/>
              </w:rPr>
              <w:t>卫生间</w:t>
            </w:r>
          </w:p>
        </w:tc>
        <w:tc>
          <w:tcPr>
            <w:tcW w:w="2339" w:type="dxa"/>
          </w:tcPr>
          <w:p>
            <w:pPr>
              <w:jc w:val="center"/>
              <w:rPr>
                <w:rFonts w:ascii="宋体" w:hAnsi="宋体" w:cs="宋体"/>
              </w:rPr>
            </w:pPr>
            <w:r>
              <w:rPr>
                <w:rFonts w:hint="eastAsia" w:ascii="宋体" w:hAnsi="宋体" w:cs="宋体"/>
              </w:rPr>
              <w:t>1300</w:t>
            </w:r>
          </w:p>
        </w:tc>
        <w:tc>
          <w:tcPr>
            <w:tcW w:w="2339" w:type="dxa"/>
          </w:tcPr>
          <w:p>
            <w:pPr>
              <w:jc w:val="center"/>
              <w:rPr>
                <w:rFonts w:ascii="宋体" w:hAnsi="宋体" w:cs="宋体"/>
              </w:rPr>
            </w:pPr>
            <w:r>
              <w:rPr>
                <w:rFonts w:hint="eastAsia"/>
              </w:rPr>
              <w:t>15年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1172" w:type="dxa"/>
          </w:tcPr>
          <w:p>
            <w:pPr>
              <w:jc w:val="center"/>
              <w:rPr>
                <w:rFonts w:ascii="宋体" w:hAnsi="宋体" w:cs="宋体"/>
              </w:rPr>
            </w:pPr>
            <w:r>
              <w:rPr>
                <w:rFonts w:hint="eastAsia" w:ascii="宋体" w:hAnsi="宋体" w:cs="宋体"/>
              </w:rPr>
              <w:t>7</w:t>
            </w:r>
          </w:p>
        </w:tc>
        <w:tc>
          <w:tcPr>
            <w:tcW w:w="3504" w:type="dxa"/>
          </w:tcPr>
          <w:p>
            <w:pPr>
              <w:jc w:val="center"/>
              <w:rPr>
                <w:rFonts w:ascii="宋体" w:hAnsi="宋体" w:cs="宋体"/>
              </w:rPr>
            </w:pPr>
            <w:r>
              <w:rPr>
                <w:rFonts w:hint="eastAsia" w:ascii="宋体" w:hAnsi="宋体" w:cs="宋体"/>
              </w:rPr>
              <w:t>茶水间</w:t>
            </w:r>
          </w:p>
        </w:tc>
        <w:tc>
          <w:tcPr>
            <w:tcW w:w="2339" w:type="dxa"/>
          </w:tcPr>
          <w:p>
            <w:pPr>
              <w:jc w:val="center"/>
              <w:rPr>
                <w:rFonts w:ascii="宋体" w:hAnsi="宋体" w:cs="宋体"/>
              </w:rPr>
            </w:pPr>
            <w:r>
              <w:rPr>
                <w:rFonts w:hint="eastAsia" w:ascii="宋体" w:hAnsi="宋体" w:cs="宋体"/>
              </w:rPr>
              <w:t>700</w:t>
            </w:r>
          </w:p>
        </w:tc>
        <w:tc>
          <w:tcPr>
            <w:tcW w:w="2339" w:type="dxa"/>
          </w:tcPr>
          <w:p>
            <w:pPr>
              <w:jc w:val="center"/>
              <w:rPr>
                <w:rFonts w:ascii="宋体" w:hAnsi="宋体" w:cs="宋体"/>
              </w:rPr>
            </w:pPr>
            <w:r>
              <w:rPr>
                <w:rFonts w:hint="eastAsia"/>
              </w:rPr>
              <w:t>15年</w:t>
            </w:r>
          </w:p>
        </w:tc>
      </w:tr>
    </w:tbl>
    <w:p>
      <w:pPr>
        <w:pStyle w:val="183"/>
      </w:pPr>
      <w:r>
        <w:rPr>
          <w:rFonts w:hint="eastAsia"/>
        </w:rPr>
        <w:t>本表中的最高控制价主要内容包括：地面、墙面、天棚、内门窗、轻质隔墙、细部水电管线、灯具等，不包括活动家具、窗帘、饰物等。不包括空调、消防和智能化等专业系统的维修费用和维修部位拆除费。</w:t>
      </w:r>
    </w:p>
    <w:p>
      <w:pPr>
        <w:pStyle w:val="82"/>
        <w:spacing w:before="156" w:after="156"/>
      </w:pPr>
      <w:bookmarkStart w:id="694" w:name="_Toc241610369"/>
      <w:bookmarkStart w:id="695" w:name="_Toc241609854"/>
      <w:bookmarkStart w:id="696" w:name="_Toc5460"/>
      <w:r>
        <w:rPr>
          <w:rFonts w:hint="eastAsia"/>
        </w:rPr>
        <w:t>专项维修</w:t>
      </w:r>
      <w:bookmarkEnd w:id="694"/>
      <w:bookmarkEnd w:id="695"/>
      <w:bookmarkEnd w:id="696"/>
    </w:p>
    <w:p>
      <w:pPr>
        <w:pStyle w:val="60"/>
        <w:ind w:firstLine="420"/>
      </w:pPr>
      <w:r>
        <w:rPr>
          <w:rFonts w:hint="eastAsia"/>
        </w:rPr>
        <w:t>专项维修主要是以单个或两个系统为主的专项性维修，以实际维修项目为准，以各部分维修面积为基数，在不包含拆除和特殊情形下的成本增加费用的前提下，单项造价最高控制价按表L.2执行。</w:t>
      </w:r>
    </w:p>
    <w:p>
      <w:pPr>
        <w:pStyle w:val="81"/>
        <w:spacing w:before="156" w:after="156"/>
      </w:pPr>
      <w:r>
        <w:rPr>
          <w:rFonts w:hint="eastAsia"/>
        </w:rPr>
        <w:t>办公用房专项维修造价控制表</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704"/>
        <w:gridCol w:w="1518"/>
        <w:gridCol w:w="3755"/>
        <w:gridCol w:w="2135"/>
        <w:gridCol w:w="12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blHeader/>
          <w:jc w:val="center"/>
        </w:trPr>
        <w:tc>
          <w:tcPr>
            <w:tcW w:w="704" w:type="dxa"/>
            <w:tcBorders>
              <w:bottom w:val="single" w:color="auto" w:sz="8" w:space="0"/>
            </w:tcBorders>
            <w:vAlign w:val="center"/>
          </w:tcPr>
          <w:p>
            <w:pPr>
              <w:jc w:val="center"/>
              <w:rPr>
                <w:rFonts w:ascii="宋体" w:hAnsi="宋体" w:cs="宋体"/>
              </w:rPr>
            </w:pPr>
            <w:r>
              <w:rPr>
                <w:rFonts w:hint="eastAsia" w:ascii="宋体" w:hAnsi="宋体" w:cs="宋体"/>
              </w:rPr>
              <w:t>序号</w:t>
            </w:r>
          </w:p>
        </w:tc>
        <w:tc>
          <w:tcPr>
            <w:tcW w:w="1518" w:type="dxa"/>
            <w:tcBorders>
              <w:bottom w:val="single" w:color="auto" w:sz="8" w:space="0"/>
            </w:tcBorders>
            <w:vAlign w:val="center"/>
          </w:tcPr>
          <w:p>
            <w:pPr>
              <w:jc w:val="center"/>
              <w:rPr>
                <w:rFonts w:ascii="宋体" w:hAnsi="宋体" w:cs="宋体"/>
              </w:rPr>
            </w:pPr>
            <w:r>
              <w:rPr>
                <w:rFonts w:hint="eastAsia" w:ascii="宋体" w:hAnsi="宋体" w:cs="宋体"/>
              </w:rPr>
              <w:t>专项维修部位</w:t>
            </w:r>
          </w:p>
        </w:tc>
        <w:tc>
          <w:tcPr>
            <w:tcW w:w="3755" w:type="dxa"/>
            <w:tcBorders>
              <w:bottom w:val="single" w:color="auto" w:sz="8" w:space="0"/>
            </w:tcBorders>
            <w:vAlign w:val="center"/>
          </w:tcPr>
          <w:p>
            <w:pPr>
              <w:jc w:val="center"/>
              <w:rPr>
                <w:rFonts w:ascii="宋体" w:hAnsi="宋体" w:cs="宋体"/>
              </w:rPr>
            </w:pPr>
            <w:r>
              <w:rPr>
                <w:rFonts w:hint="eastAsia" w:ascii="宋体" w:hAnsi="宋体" w:cs="宋体"/>
              </w:rPr>
              <w:t>专项维修主要内容</w:t>
            </w:r>
          </w:p>
        </w:tc>
        <w:tc>
          <w:tcPr>
            <w:tcW w:w="2135" w:type="dxa"/>
            <w:tcBorders>
              <w:bottom w:val="single" w:color="auto" w:sz="8" w:space="0"/>
            </w:tcBorders>
            <w:vAlign w:val="center"/>
          </w:tcPr>
          <w:p>
            <w:pPr>
              <w:jc w:val="center"/>
              <w:rPr>
                <w:rFonts w:ascii="宋体" w:hAnsi="宋体" w:cs="宋体"/>
              </w:rPr>
            </w:pPr>
            <w:r>
              <w:rPr>
                <w:rFonts w:hint="eastAsia" w:ascii="宋体" w:hAnsi="宋体" w:cs="宋体"/>
              </w:rPr>
              <w:t>计价、计量标准</w:t>
            </w:r>
          </w:p>
          <w:p>
            <w:pPr>
              <w:jc w:val="center"/>
              <w:rPr>
                <w:rFonts w:ascii="宋体" w:hAnsi="宋体" w:cs="宋体"/>
              </w:rPr>
            </w:pPr>
            <w:r>
              <w:rPr>
                <w:rFonts w:hint="eastAsia" w:ascii="宋体" w:hAnsi="宋体" w:cs="宋体"/>
              </w:rPr>
              <w:t>基数（㎡）</w:t>
            </w:r>
          </w:p>
        </w:tc>
        <w:tc>
          <w:tcPr>
            <w:tcW w:w="1242" w:type="dxa"/>
            <w:tcBorders>
              <w:bottom w:val="single" w:color="auto" w:sz="8" w:space="0"/>
            </w:tcBorders>
            <w:vAlign w:val="center"/>
          </w:tcPr>
          <w:p>
            <w:pPr>
              <w:jc w:val="center"/>
              <w:rPr>
                <w:rFonts w:ascii="宋体" w:hAnsi="宋体" w:cs="宋体"/>
              </w:rPr>
            </w:pPr>
            <w:r>
              <w:rPr>
                <w:rFonts w:hint="eastAsia" w:ascii="宋体" w:hAnsi="宋体" w:cs="宋体"/>
              </w:rPr>
              <w:t>估价区间（元/㎡）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4" w:type="dxa"/>
            <w:tcBorders>
              <w:top w:val="single" w:color="auto" w:sz="8" w:space="0"/>
            </w:tcBorders>
            <w:vAlign w:val="center"/>
          </w:tcPr>
          <w:p>
            <w:pPr>
              <w:jc w:val="center"/>
              <w:rPr>
                <w:rFonts w:ascii="宋体" w:hAnsi="宋体" w:cs="宋体"/>
              </w:rPr>
            </w:pPr>
            <w:r>
              <w:rPr>
                <w:rFonts w:hint="eastAsia" w:ascii="宋体" w:hAnsi="宋体" w:cs="宋体"/>
              </w:rPr>
              <w:t>1</w:t>
            </w:r>
          </w:p>
        </w:tc>
        <w:tc>
          <w:tcPr>
            <w:tcW w:w="1518" w:type="dxa"/>
            <w:tcBorders>
              <w:top w:val="single" w:color="auto" w:sz="8" w:space="0"/>
            </w:tcBorders>
            <w:vAlign w:val="center"/>
          </w:tcPr>
          <w:p>
            <w:pPr>
              <w:jc w:val="center"/>
              <w:rPr>
                <w:rFonts w:ascii="宋体" w:hAnsi="宋体" w:cs="宋体"/>
              </w:rPr>
            </w:pPr>
            <w:r>
              <w:rPr>
                <w:rFonts w:hint="eastAsia" w:ascii="宋体" w:hAnsi="宋体" w:cs="宋体"/>
              </w:rPr>
              <w:t>屋面维修</w:t>
            </w:r>
          </w:p>
        </w:tc>
        <w:tc>
          <w:tcPr>
            <w:tcW w:w="3755" w:type="dxa"/>
            <w:tcBorders>
              <w:top w:val="single" w:color="auto" w:sz="8" w:space="0"/>
            </w:tcBorders>
            <w:vAlign w:val="center"/>
          </w:tcPr>
          <w:p>
            <w:pPr>
              <w:jc w:val="left"/>
              <w:rPr>
                <w:rFonts w:ascii="宋体" w:hAnsi="宋体" w:cs="宋体"/>
              </w:rPr>
            </w:pPr>
            <w:r>
              <w:rPr>
                <w:rFonts w:hint="eastAsia" w:ascii="宋体" w:hAnsi="宋体" w:cs="宋体"/>
              </w:rPr>
              <w:t>含重做屋面柔性防水层和刚性防水层</w:t>
            </w:r>
          </w:p>
        </w:tc>
        <w:tc>
          <w:tcPr>
            <w:tcW w:w="2135" w:type="dxa"/>
            <w:tcBorders>
              <w:top w:val="single" w:color="auto" w:sz="8" w:space="0"/>
            </w:tcBorders>
            <w:vAlign w:val="center"/>
          </w:tcPr>
          <w:p>
            <w:pPr>
              <w:jc w:val="center"/>
              <w:rPr>
                <w:rFonts w:ascii="宋体" w:hAnsi="宋体" w:cs="宋体"/>
              </w:rPr>
            </w:pPr>
            <w:r>
              <w:rPr>
                <w:rFonts w:hint="eastAsia" w:ascii="宋体" w:hAnsi="宋体" w:cs="宋体"/>
              </w:rPr>
              <w:t>按实际维修面积</w:t>
            </w:r>
          </w:p>
        </w:tc>
        <w:tc>
          <w:tcPr>
            <w:tcW w:w="1242" w:type="dxa"/>
            <w:tcBorders>
              <w:top w:val="single" w:color="auto" w:sz="8" w:space="0"/>
            </w:tcBorders>
            <w:vAlign w:val="center"/>
          </w:tcPr>
          <w:p>
            <w:pPr>
              <w:jc w:val="center"/>
              <w:rPr>
                <w:rFonts w:ascii="宋体" w:hAnsi="宋体" w:cs="宋体"/>
              </w:rPr>
            </w:pPr>
            <w:r>
              <w:rPr>
                <w:rFonts w:hint="eastAsia" w:ascii="宋体" w:hAnsi="宋体" w:cs="宋体"/>
              </w:rPr>
              <w:t>180～240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4" w:type="dxa"/>
            <w:vAlign w:val="center"/>
          </w:tcPr>
          <w:p>
            <w:pPr>
              <w:jc w:val="center"/>
              <w:rPr>
                <w:rFonts w:ascii="宋体" w:hAnsi="宋体" w:cs="宋体"/>
              </w:rPr>
            </w:pPr>
            <w:r>
              <w:rPr>
                <w:rFonts w:hint="eastAsia" w:ascii="宋体" w:hAnsi="宋体" w:cs="宋体"/>
              </w:rPr>
              <w:t>2</w:t>
            </w:r>
          </w:p>
        </w:tc>
        <w:tc>
          <w:tcPr>
            <w:tcW w:w="1518" w:type="dxa"/>
            <w:vAlign w:val="center"/>
          </w:tcPr>
          <w:p>
            <w:pPr>
              <w:jc w:val="center"/>
              <w:rPr>
                <w:rFonts w:ascii="宋体" w:hAnsi="宋体" w:cs="宋体"/>
              </w:rPr>
            </w:pPr>
            <w:r>
              <w:rPr>
                <w:rFonts w:hint="eastAsia" w:ascii="宋体" w:hAnsi="宋体" w:cs="宋体"/>
              </w:rPr>
              <w:t>外墙维修</w:t>
            </w:r>
          </w:p>
        </w:tc>
        <w:tc>
          <w:tcPr>
            <w:tcW w:w="3755" w:type="dxa"/>
            <w:vAlign w:val="center"/>
          </w:tcPr>
          <w:p>
            <w:pPr>
              <w:jc w:val="left"/>
              <w:rPr>
                <w:rFonts w:ascii="宋体" w:hAnsi="宋体" w:cs="宋体"/>
              </w:rPr>
            </w:pPr>
            <w:r>
              <w:rPr>
                <w:rFonts w:hint="eastAsia" w:ascii="宋体" w:hAnsi="宋体" w:cs="宋体"/>
              </w:rPr>
              <w:t>包括铲除至结构层、防水新做真石漆和外架搭设等所有内容。</w:t>
            </w:r>
          </w:p>
        </w:tc>
        <w:tc>
          <w:tcPr>
            <w:tcW w:w="2135" w:type="dxa"/>
            <w:vAlign w:val="center"/>
          </w:tcPr>
          <w:p>
            <w:pPr>
              <w:jc w:val="center"/>
              <w:rPr>
                <w:rFonts w:ascii="宋体" w:hAnsi="宋体" w:cs="宋体"/>
              </w:rPr>
            </w:pPr>
            <w:r>
              <w:rPr>
                <w:rFonts w:hint="eastAsia" w:ascii="宋体" w:hAnsi="宋体" w:cs="宋体"/>
              </w:rPr>
              <w:t>按实际维修面积</w:t>
            </w:r>
          </w:p>
        </w:tc>
        <w:tc>
          <w:tcPr>
            <w:tcW w:w="1242" w:type="dxa"/>
            <w:vAlign w:val="center"/>
          </w:tcPr>
          <w:p>
            <w:pPr>
              <w:jc w:val="center"/>
              <w:rPr>
                <w:rFonts w:ascii="宋体" w:hAnsi="宋体" w:cs="宋体"/>
              </w:rPr>
            </w:pPr>
            <w:r>
              <w:rPr>
                <w:rFonts w:hint="eastAsia" w:ascii="宋体" w:hAnsi="宋体" w:cs="宋体"/>
              </w:rPr>
              <w:t>200～300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4" w:type="dxa"/>
            <w:vAlign w:val="center"/>
          </w:tcPr>
          <w:p>
            <w:pPr>
              <w:jc w:val="center"/>
              <w:rPr>
                <w:rFonts w:ascii="宋体" w:hAnsi="宋体" w:cs="宋体"/>
              </w:rPr>
            </w:pPr>
            <w:r>
              <w:rPr>
                <w:rFonts w:hint="eastAsia" w:ascii="宋体" w:hAnsi="宋体" w:cs="宋体"/>
              </w:rPr>
              <w:t>3</w:t>
            </w:r>
          </w:p>
        </w:tc>
        <w:tc>
          <w:tcPr>
            <w:tcW w:w="1518" w:type="dxa"/>
            <w:vAlign w:val="center"/>
          </w:tcPr>
          <w:p>
            <w:pPr>
              <w:jc w:val="center"/>
              <w:rPr>
                <w:rFonts w:ascii="宋体" w:hAnsi="宋体" w:cs="宋体"/>
              </w:rPr>
            </w:pPr>
            <w:r>
              <w:rPr>
                <w:rFonts w:hint="eastAsia" w:ascii="宋体" w:hAnsi="宋体" w:cs="宋体"/>
              </w:rPr>
              <w:t>内墙维修</w:t>
            </w:r>
          </w:p>
        </w:tc>
        <w:tc>
          <w:tcPr>
            <w:tcW w:w="3755" w:type="dxa"/>
            <w:vAlign w:val="center"/>
          </w:tcPr>
          <w:p>
            <w:pPr>
              <w:jc w:val="left"/>
              <w:rPr>
                <w:rFonts w:ascii="宋体" w:hAnsi="宋体" w:cs="宋体"/>
              </w:rPr>
            </w:pPr>
            <w:r>
              <w:rPr>
                <w:rFonts w:hint="eastAsia" w:ascii="宋体" w:hAnsi="宋体" w:cs="宋体"/>
              </w:rPr>
              <w:t>含重做内墙装饰层</w:t>
            </w:r>
          </w:p>
        </w:tc>
        <w:tc>
          <w:tcPr>
            <w:tcW w:w="2135" w:type="dxa"/>
            <w:vAlign w:val="center"/>
          </w:tcPr>
          <w:p>
            <w:pPr>
              <w:jc w:val="center"/>
              <w:rPr>
                <w:rFonts w:ascii="宋体" w:hAnsi="宋体" w:cs="宋体"/>
              </w:rPr>
            </w:pPr>
            <w:r>
              <w:rPr>
                <w:rFonts w:hint="eastAsia" w:ascii="宋体" w:hAnsi="宋体" w:cs="宋体"/>
              </w:rPr>
              <w:t>墙面面积</w:t>
            </w:r>
          </w:p>
        </w:tc>
        <w:tc>
          <w:tcPr>
            <w:tcW w:w="1242" w:type="dxa"/>
            <w:vAlign w:val="center"/>
          </w:tcPr>
          <w:p>
            <w:pPr>
              <w:jc w:val="center"/>
              <w:rPr>
                <w:rFonts w:ascii="宋体" w:hAnsi="宋体" w:cs="宋体"/>
              </w:rPr>
            </w:pPr>
            <w:r>
              <w:rPr>
                <w:rFonts w:hint="eastAsia" w:ascii="宋体" w:hAnsi="宋体" w:cs="宋体"/>
              </w:rPr>
              <w:t>240～350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4" w:type="dxa"/>
            <w:vAlign w:val="center"/>
          </w:tcPr>
          <w:p>
            <w:pPr>
              <w:jc w:val="center"/>
              <w:rPr>
                <w:rFonts w:ascii="宋体" w:hAnsi="宋体" w:cs="宋体"/>
              </w:rPr>
            </w:pPr>
            <w:r>
              <w:rPr>
                <w:rFonts w:hint="eastAsia" w:ascii="宋体" w:hAnsi="宋体" w:cs="宋体"/>
              </w:rPr>
              <w:t>4</w:t>
            </w:r>
          </w:p>
        </w:tc>
        <w:tc>
          <w:tcPr>
            <w:tcW w:w="1518" w:type="dxa"/>
            <w:vAlign w:val="center"/>
          </w:tcPr>
          <w:p>
            <w:pPr>
              <w:jc w:val="center"/>
              <w:rPr>
                <w:rFonts w:ascii="宋体" w:hAnsi="宋体" w:cs="宋体"/>
              </w:rPr>
            </w:pPr>
            <w:r>
              <w:rPr>
                <w:rFonts w:hint="eastAsia" w:ascii="宋体" w:hAnsi="宋体" w:cs="宋体"/>
              </w:rPr>
              <w:t>地面维修</w:t>
            </w:r>
          </w:p>
        </w:tc>
        <w:tc>
          <w:tcPr>
            <w:tcW w:w="3755" w:type="dxa"/>
            <w:vAlign w:val="center"/>
          </w:tcPr>
          <w:p>
            <w:pPr>
              <w:jc w:val="left"/>
              <w:rPr>
                <w:rFonts w:ascii="宋体" w:hAnsi="宋体" w:cs="宋体"/>
              </w:rPr>
            </w:pPr>
            <w:r>
              <w:rPr>
                <w:rFonts w:hint="eastAsia" w:ascii="宋体" w:hAnsi="宋体" w:cs="宋体"/>
              </w:rPr>
              <w:t>包括更换面层</w:t>
            </w:r>
          </w:p>
        </w:tc>
        <w:tc>
          <w:tcPr>
            <w:tcW w:w="2135" w:type="dxa"/>
            <w:vAlign w:val="center"/>
          </w:tcPr>
          <w:p>
            <w:pPr>
              <w:jc w:val="center"/>
              <w:rPr>
                <w:rFonts w:ascii="宋体" w:hAnsi="宋体" w:cs="宋体"/>
              </w:rPr>
            </w:pPr>
            <w:r>
              <w:rPr>
                <w:rFonts w:hint="eastAsia" w:ascii="宋体" w:hAnsi="宋体" w:cs="宋体"/>
              </w:rPr>
              <w:t>地面面积</w:t>
            </w:r>
          </w:p>
        </w:tc>
        <w:tc>
          <w:tcPr>
            <w:tcW w:w="1242" w:type="dxa"/>
            <w:vAlign w:val="center"/>
          </w:tcPr>
          <w:p>
            <w:pPr>
              <w:jc w:val="center"/>
              <w:rPr>
                <w:rFonts w:ascii="宋体" w:hAnsi="宋体" w:cs="宋体"/>
              </w:rPr>
            </w:pPr>
            <w:r>
              <w:rPr>
                <w:rFonts w:hint="eastAsia" w:ascii="宋体" w:hAnsi="宋体" w:cs="宋体"/>
              </w:rPr>
              <w:t>180～260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4" w:type="dxa"/>
            <w:vAlign w:val="center"/>
          </w:tcPr>
          <w:p>
            <w:pPr>
              <w:jc w:val="center"/>
              <w:rPr>
                <w:rFonts w:ascii="宋体" w:hAnsi="宋体" w:cs="宋体"/>
              </w:rPr>
            </w:pPr>
            <w:r>
              <w:rPr>
                <w:rFonts w:hint="eastAsia" w:ascii="宋体" w:hAnsi="宋体" w:cs="宋体"/>
              </w:rPr>
              <w:t>5</w:t>
            </w:r>
          </w:p>
        </w:tc>
        <w:tc>
          <w:tcPr>
            <w:tcW w:w="1518" w:type="dxa"/>
            <w:vAlign w:val="center"/>
          </w:tcPr>
          <w:p>
            <w:pPr>
              <w:jc w:val="center"/>
              <w:rPr>
                <w:rFonts w:ascii="宋体" w:hAnsi="宋体" w:cs="宋体"/>
              </w:rPr>
            </w:pPr>
            <w:r>
              <w:rPr>
                <w:rFonts w:hint="eastAsia" w:ascii="宋体" w:hAnsi="宋体" w:cs="宋体"/>
              </w:rPr>
              <w:t>天花板维修</w:t>
            </w:r>
          </w:p>
        </w:tc>
        <w:tc>
          <w:tcPr>
            <w:tcW w:w="3755" w:type="dxa"/>
            <w:vAlign w:val="center"/>
          </w:tcPr>
          <w:p>
            <w:pPr>
              <w:jc w:val="left"/>
              <w:rPr>
                <w:rFonts w:ascii="宋体" w:hAnsi="宋体" w:cs="宋体"/>
              </w:rPr>
            </w:pPr>
            <w:r>
              <w:rPr>
                <w:rFonts w:hint="eastAsia" w:ascii="宋体" w:hAnsi="宋体" w:cs="宋体"/>
              </w:rPr>
              <w:t>包括重做天花板装饰层</w:t>
            </w:r>
          </w:p>
        </w:tc>
        <w:tc>
          <w:tcPr>
            <w:tcW w:w="2135" w:type="dxa"/>
            <w:vAlign w:val="center"/>
          </w:tcPr>
          <w:p>
            <w:pPr>
              <w:jc w:val="center"/>
              <w:rPr>
                <w:rFonts w:ascii="宋体" w:hAnsi="宋体" w:cs="宋体"/>
              </w:rPr>
            </w:pPr>
            <w:r>
              <w:rPr>
                <w:rFonts w:hint="eastAsia" w:ascii="宋体" w:hAnsi="宋体" w:cs="宋体"/>
              </w:rPr>
              <w:t>天花面积</w:t>
            </w:r>
          </w:p>
        </w:tc>
        <w:tc>
          <w:tcPr>
            <w:tcW w:w="1242" w:type="dxa"/>
            <w:vAlign w:val="center"/>
          </w:tcPr>
          <w:p>
            <w:pPr>
              <w:jc w:val="center"/>
              <w:rPr>
                <w:rFonts w:ascii="宋体" w:hAnsi="宋体" w:cs="宋体"/>
              </w:rPr>
            </w:pPr>
            <w:r>
              <w:rPr>
                <w:rFonts w:hint="eastAsia" w:ascii="宋体" w:hAnsi="宋体" w:cs="宋体"/>
              </w:rPr>
              <w:t>140～180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4" w:type="dxa"/>
            <w:vAlign w:val="center"/>
          </w:tcPr>
          <w:p>
            <w:pPr>
              <w:jc w:val="center"/>
              <w:rPr>
                <w:rFonts w:ascii="宋体" w:hAnsi="宋体" w:cs="宋体"/>
              </w:rPr>
            </w:pPr>
            <w:r>
              <w:rPr>
                <w:rFonts w:hint="eastAsia" w:ascii="宋体" w:hAnsi="宋体" w:cs="宋体"/>
              </w:rPr>
              <w:t>6</w:t>
            </w:r>
          </w:p>
        </w:tc>
        <w:tc>
          <w:tcPr>
            <w:tcW w:w="1518" w:type="dxa"/>
            <w:vAlign w:val="center"/>
          </w:tcPr>
          <w:p>
            <w:pPr>
              <w:jc w:val="center"/>
              <w:rPr>
                <w:rFonts w:ascii="宋体" w:hAnsi="宋体" w:cs="宋体"/>
              </w:rPr>
            </w:pPr>
            <w:r>
              <w:rPr>
                <w:rFonts w:hint="eastAsia" w:ascii="宋体" w:hAnsi="宋体" w:cs="宋体"/>
              </w:rPr>
              <w:t>木门</w:t>
            </w:r>
          </w:p>
        </w:tc>
        <w:tc>
          <w:tcPr>
            <w:tcW w:w="3755" w:type="dxa"/>
            <w:vAlign w:val="center"/>
          </w:tcPr>
          <w:p>
            <w:pPr>
              <w:jc w:val="left"/>
              <w:rPr>
                <w:rFonts w:ascii="宋体" w:hAnsi="宋体" w:cs="宋体"/>
              </w:rPr>
            </w:pPr>
            <w:r>
              <w:rPr>
                <w:rFonts w:hint="eastAsia" w:ascii="宋体" w:hAnsi="宋体" w:cs="宋体"/>
              </w:rPr>
              <w:t>成品门安装（含五金）</w:t>
            </w:r>
          </w:p>
        </w:tc>
        <w:tc>
          <w:tcPr>
            <w:tcW w:w="2135" w:type="dxa"/>
            <w:vAlign w:val="center"/>
          </w:tcPr>
          <w:p>
            <w:pPr>
              <w:jc w:val="center"/>
              <w:rPr>
                <w:rFonts w:ascii="宋体" w:hAnsi="宋体" w:cs="宋体"/>
              </w:rPr>
            </w:pPr>
            <w:r>
              <w:rPr>
                <w:rFonts w:hint="eastAsia" w:ascii="宋体" w:hAnsi="宋体" w:cs="宋体"/>
              </w:rPr>
              <w:t>门的面积</w:t>
            </w:r>
          </w:p>
        </w:tc>
        <w:tc>
          <w:tcPr>
            <w:tcW w:w="1242" w:type="dxa"/>
            <w:vAlign w:val="center"/>
          </w:tcPr>
          <w:p>
            <w:pPr>
              <w:jc w:val="center"/>
              <w:rPr>
                <w:rFonts w:ascii="宋体" w:hAnsi="宋体" w:cs="宋体"/>
              </w:rPr>
            </w:pPr>
            <w:r>
              <w:rPr>
                <w:rFonts w:hint="eastAsia" w:ascii="宋体" w:hAnsi="宋体" w:cs="宋体"/>
              </w:rPr>
              <w:t>700～1000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4" w:type="dxa"/>
            <w:vAlign w:val="center"/>
          </w:tcPr>
          <w:p>
            <w:pPr>
              <w:jc w:val="center"/>
              <w:rPr>
                <w:rFonts w:ascii="宋体" w:hAnsi="宋体" w:cs="宋体"/>
              </w:rPr>
            </w:pPr>
            <w:r>
              <w:rPr>
                <w:rFonts w:hint="eastAsia" w:ascii="宋体" w:hAnsi="宋体" w:cs="宋体"/>
              </w:rPr>
              <w:t>7</w:t>
            </w:r>
          </w:p>
        </w:tc>
        <w:tc>
          <w:tcPr>
            <w:tcW w:w="1518" w:type="dxa"/>
            <w:vAlign w:val="center"/>
          </w:tcPr>
          <w:p>
            <w:pPr>
              <w:jc w:val="center"/>
              <w:rPr>
                <w:rFonts w:ascii="宋体" w:hAnsi="宋体" w:cs="宋体"/>
              </w:rPr>
            </w:pPr>
            <w:r>
              <w:rPr>
                <w:rFonts w:hint="eastAsia" w:ascii="宋体" w:hAnsi="宋体" w:cs="宋体"/>
              </w:rPr>
              <w:t>不锈钢防盗网</w:t>
            </w:r>
          </w:p>
        </w:tc>
        <w:tc>
          <w:tcPr>
            <w:tcW w:w="3755" w:type="dxa"/>
            <w:vAlign w:val="center"/>
          </w:tcPr>
          <w:p>
            <w:pPr>
              <w:jc w:val="left"/>
              <w:rPr>
                <w:rFonts w:ascii="宋体" w:hAnsi="宋体" w:cs="宋体"/>
              </w:rPr>
            </w:pPr>
            <w:r>
              <w:rPr>
                <w:rFonts w:hint="eastAsia" w:ascii="宋体" w:hAnsi="宋体" w:cs="宋体"/>
              </w:rPr>
              <w:t>全 304 不锈钢防盗网，保用10年</w:t>
            </w:r>
          </w:p>
        </w:tc>
        <w:tc>
          <w:tcPr>
            <w:tcW w:w="2135" w:type="dxa"/>
            <w:vAlign w:val="center"/>
          </w:tcPr>
          <w:p>
            <w:pPr>
              <w:jc w:val="center"/>
              <w:rPr>
                <w:rFonts w:ascii="宋体" w:hAnsi="宋体" w:cs="宋体"/>
              </w:rPr>
            </w:pPr>
            <w:r>
              <w:rPr>
                <w:rFonts w:hint="eastAsia" w:ascii="宋体" w:hAnsi="宋体" w:cs="宋体"/>
              </w:rPr>
              <w:t>展开面积</w:t>
            </w:r>
          </w:p>
        </w:tc>
        <w:tc>
          <w:tcPr>
            <w:tcW w:w="1242" w:type="dxa"/>
            <w:vAlign w:val="center"/>
          </w:tcPr>
          <w:p>
            <w:pPr>
              <w:jc w:val="center"/>
              <w:rPr>
                <w:rFonts w:ascii="宋体" w:hAnsi="宋体" w:cs="宋体"/>
              </w:rPr>
            </w:pPr>
            <w:r>
              <w:rPr>
                <w:rFonts w:hint="eastAsia" w:ascii="宋体" w:hAnsi="宋体" w:cs="宋体"/>
              </w:rPr>
              <w:t>200</w:t>
            </w:r>
          </w:p>
        </w:tc>
      </w:tr>
    </w:tbl>
    <w:p>
      <w:pPr>
        <w:jc w:val="center"/>
        <w:rPr>
          <w:rFonts w:ascii="宋体" w:hAnsi="宋体" w:cs="宋体"/>
        </w:rPr>
      </w:pPr>
      <w:r>
        <w:rPr>
          <w:rFonts w:hint="eastAsia" w:ascii="宋体" w:hAnsi="宋体" w:cs="宋体"/>
        </w:rPr>
        <w:br w:type="page"/>
      </w:r>
    </w:p>
    <w:p>
      <w:pPr>
        <w:pStyle w:val="81"/>
        <w:numPr>
          <w:ilvl w:val="0"/>
          <w:numId w:val="0"/>
        </w:numPr>
        <w:spacing w:before="156" w:after="156"/>
        <w:ind w:firstLine="2520" w:firstLineChars="1200"/>
        <w:jc w:val="both"/>
      </w:pPr>
      <w:r>
        <w:rPr>
          <w:rFonts w:hint="eastAsia" w:hAnsi="黑体" w:cs="黑体"/>
        </w:rPr>
        <w:t>表L.2</w:t>
      </w:r>
      <w:r>
        <w:rPr>
          <w:rFonts w:hint="eastAsia" w:ascii="宋体" w:hAnsi="宋体" w:eastAsia="宋体" w:cs="宋体"/>
        </w:rPr>
        <w:t>（续）</w:t>
      </w:r>
      <w:r>
        <w:rPr>
          <w:rFonts w:hint="eastAsia"/>
        </w:rPr>
        <w:t>办公用房专项维修造价控制表</w:t>
      </w:r>
    </w:p>
    <w:tbl>
      <w:tblPr>
        <w:tblStyle w:val="2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0" w:type="dxa"/>
          <w:bottom w:w="0" w:type="dxa"/>
          <w:right w:w="100" w:type="dxa"/>
        </w:tblCellMar>
      </w:tblPr>
      <w:tblGrid>
        <w:gridCol w:w="704"/>
        <w:gridCol w:w="1518"/>
        <w:gridCol w:w="3755"/>
        <w:gridCol w:w="2135"/>
        <w:gridCol w:w="124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04" w:type="dxa"/>
            <w:vAlign w:val="center"/>
          </w:tcPr>
          <w:p>
            <w:pPr>
              <w:jc w:val="center"/>
              <w:rPr>
                <w:rFonts w:ascii="宋体" w:hAnsi="宋体" w:cs="宋体"/>
              </w:rPr>
            </w:pPr>
            <w:r>
              <w:rPr>
                <w:rFonts w:hint="eastAsia" w:ascii="宋体" w:hAnsi="宋体" w:cs="宋体"/>
              </w:rPr>
              <w:t>序号</w:t>
            </w:r>
          </w:p>
        </w:tc>
        <w:tc>
          <w:tcPr>
            <w:tcW w:w="1518" w:type="dxa"/>
            <w:vAlign w:val="center"/>
          </w:tcPr>
          <w:p>
            <w:pPr>
              <w:jc w:val="center"/>
              <w:rPr>
                <w:rFonts w:ascii="宋体" w:hAnsi="宋体" w:cs="宋体"/>
              </w:rPr>
            </w:pPr>
            <w:r>
              <w:rPr>
                <w:rFonts w:hint="eastAsia" w:ascii="宋体" w:hAnsi="宋体" w:cs="宋体"/>
              </w:rPr>
              <w:t>专项维修部位</w:t>
            </w:r>
          </w:p>
        </w:tc>
        <w:tc>
          <w:tcPr>
            <w:tcW w:w="3755" w:type="dxa"/>
            <w:vAlign w:val="center"/>
          </w:tcPr>
          <w:p>
            <w:pPr>
              <w:jc w:val="center"/>
              <w:rPr>
                <w:rFonts w:ascii="宋体" w:hAnsi="宋体" w:cs="宋体"/>
              </w:rPr>
            </w:pPr>
            <w:r>
              <w:rPr>
                <w:rFonts w:hint="eastAsia" w:ascii="宋体" w:hAnsi="宋体" w:cs="宋体"/>
              </w:rPr>
              <w:t>专项维修主要内容</w:t>
            </w:r>
          </w:p>
        </w:tc>
        <w:tc>
          <w:tcPr>
            <w:tcW w:w="2135" w:type="dxa"/>
            <w:vAlign w:val="center"/>
          </w:tcPr>
          <w:p>
            <w:pPr>
              <w:jc w:val="center"/>
              <w:rPr>
                <w:rFonts w:ascii="宋体" w:hAnsi="宋体" w:cs="宋体"/>
              </w:rPr>
            </w:pPr>
            <w:r>
              <w:rPr>
                <w:rFonts w:hint="eastAsia" w:ascii="宋体" w:hAnsi="宋体" w:cs="宋体"/>
              </w:rPr>
              <w:t>计价、计量标准</w:t>
            </w:r>
          </w:p>
          <w:p>
            <w:pPr>
              <w:jc w:val="center"/>
              <w:rPr>
                <w:rFonts w:ascii="宋体" w:hAnsi="宋体" w:cs="宋体"/>
              </w:rPr>
            </w:pPr>
            <w:r>
              <w:rPr>
                <w:rFonts w:hint="eastAsia" w:ascii="宋体" w:hAnsi="宋体" w:cs="宋体"/>
              </w:rPr>
              <w:t>基数（㎡）</w:t>
            </w:r>
          </w:p>
        </w:tc>
        <w:tc>
          <w:tcPr>
            <w:tcW w:w="1242" w:type="dxa"/>
            <w:vAlign w:val="center"/>
          </w:tcPr>
          <w:p>
            <w:pPr>
              <w:jc w:val="center"/>
              <w:rPr>
                <w:rFonts w:ascii="宋体" w:hAnsi="宋体" w:cs="宋体"/>
              </w:rPr>
            </w:pPr>
            <w:r>
              <w:rPr>
                <w:rFonts w:hint="eastAsia" w:ascii="宋体" w:hAnsi="宋体" w:cs="宋体"/>
              </w:rPr>
              <w:t>估价区间（元/㎡）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04" w:type="dxa"/>
            <w:vAlign w:val="center"/>
          </w:tcPr>
          <w:p>
            <w:pPr>
              <w:jc w:val="center"/>
              <w:rPr>
                <w:rFonts w:ascii="宋体" w:hAnsi="宋体" w:cs="宋体"/>
              </w:rPr>
            </w:pPr>
            <w:r>
              <w:rPr>
                <w:rFonts w:hint="eastAsia" w:ascii="宋体" w:hAnsi="宋体" w:cs="宋体"/>
              </w:rPr>
              <w:t>8</w:t>
            </w:r>
          </w:p>
        </w:tc>
        <w:tc>
          <w:tcPr>
            <w:tcW w:w="1518" w:type="dxa"/>
            <w:vAlign w:val="center"/>
          </w:tcPr>
          <w:p>
            <w:pPr>
              <w:jc w:val="center"/>
              <w:rPr>
                <w:rFonts w:ascii="宋体" w:hAnsi="宋体" w:cs="宋体"/>
              </w:rPr>
            </w:pPr>
            <w:r>
              <w:rPr>
                <w:rFonts w:hint="eastAsia" w:ascii="宋体" w:hAnsi="宋体" w:cs="宋体"/>
              </w:rPr>
              <w:t>隔热断桥铝合金窗</w:t>
            </w:r>
          </w:p>
        </w:tc>
        <w:tc>
          <w:tcPr>
            <w:tcW w:w="3755" w:type="dxa"/>
            <w:vAlign w:val="center"/>
          </w:tcPr>
          <w:p>
            <w:pPr>
              <w:jc w:val="left"/>
              <w:rPr>
                <w:rFonts w:ascii="宋体" w:hAnsi="宋体" w:cs="宋体"/>
              </w:rPr>
            </w:pPr>
            <w:r>
              <w:rPr>
                <w:rFonts w:hint="eastAsia" w:ascii="宋体" w:hAnsi="宋体" w:cs="宋体"/>
              </w:rPr>
              <w:t>隔热断桥型平开窗、70mm 系列铝型材，壁厚1.4mm，氟碳喷涂。6mm+12A+6mm 双钢化中空玻璃。保用10年</w:t>
            </w:r>
          </w:p>
        </w:tc>
        <w:tc>
          <w:tcPr>
            <w:tcW w:w="2135" w:type="dxa"/>
            <w:vAlign w:val="center"/>
          </w:tcPr>
          <w:p>
            <w:pPr>
              <w:jc w:val="center"/>
              <w:rPr>
                <w:rFonts w:ascii="宋体" w:hAnsi="宋体" w:cs="宋体"/>
              </w:rPr>
            </w:pPr>
            <w:r>
              <w:rPr>
                <w:rFonts w:hint="eastAsia" w:ascii="宋体" w:hAnsi="宋体" w:cs="宋体"/>
              </w:rPr>
              <w:t>窗的面积</w:t>
            </w:r>
          </w:p>
        </w:tc>
        <w:tc>
          <w:tcPr>
            <w:tcW w:w="1242" w:type="dxa"/>
            <w:vAlign w:val="center"/>
          </w:tcPr>
          <w:p>
            <w:pPr>
              <w:jc w:val="center"/>
              <w:rPr>
                <w:rFonts w:ascii="宋体" w:hAnsi="宋体" w:cs="宋体"/>
              </w:rPr>
            </w:pPr>
            <w:r>
              <w:rPr>
                <w:rFonts w:hint="eastAsia" w:ascii="宋体" w:hAnsi="宋体" w:cs="宋体"/>
              </w:rPr>
              <w:t>700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04" w:type="dxa"/>
            <w:vAlign w:val="center"/>
          </w:tcPr>
          <w:p>
            <w:pPr>
              <w:jc w:val="center"/>
              <w:rPr>
                <w:rFonts w:ascii="宋体" w:hAnsi="宋体" w:cs="宋体"/>
              </w:rPr>
            </w:pPr>
            <w:r>
              <w:rPr>
                <w:rFonts w:hint="eastAsia" w:ascii="宋体" w:hAnsi="宋体" w:cs="宋体"/>
              </w:rPr>
              <w:t>9</w:t>
            </w:r>
          </w:p>
        </w:tc>
        <w:tc>
          <w:tcPr>
            <w:tcW w:w="1518" w:type="dxa"/>
            <w:vAlign w:val="center"/>
          </w:tcPr>
          <w:p>
            <w:pPr>
              <w:jc w:val="center"/>
              <w:rPr>
                <w:rFonts w:ascii="宋体" w:hAnsi="宋体" w:cs="宋体"/>
              </w:rPr>
            </w:pPr>
            <w:r>
              <w:rPr>
                <w:rFonts w:hint="eastAsia" w:ascii="宋体" w:hAnsi="宋体" w:cs="宋体"/>
              </w:rPr>
              <w:t>给排水管线更换</w:t>
            </w:r>
          </w:p>
        </w:tc>
        <w:tc>
          <w:tcPr>
            <w:tcW w:w="3755" w:type="dxa"/>
            <w:vAlign w:val="center"/>
          </w:tcPr>
          <w:p>
            <w:pPr>
              <w:jc w:val="left"/>
              <w:rPr>
                <w:rFonts w:ascii="宋体" w:hAnsi="宋体" w:cs="宋体"/>
              </w:rPr>
            </w:pPr>
            <w:r>
              <w:rPr>
                <w:rFonts w:hint="eastAsia" w:ascii="宋体" w:hAnsi="宋体" w:cs="宋体"/>
              </w:rPr>
              <w:t>管网更换、不包括泵房的设备维修</w:t>
            </w:r>
          </w:p>
        </w:tc>
        <w:tc>
          <w:tcPr>
            <w:tcW w:w="2135" w:type="dxa"/>
            <w:vAlign w:val="center"/>
          </w:tcPr>
          <w:p>
            <w:pPr>
              <w:jc w:val="center"/>
              <w:rPr>
                <w:rFonts w:ascii="宋体" w:hAnsi="宋体" w:cs="宋体"/>
              </w:rPr>
            </w:pPr>
            <w:r>
              <w:rPr>
                <w:rFonts w:hint="eastAsia" w:ascii="宋体" w:hAnsi="宋体" w:cs="宋体"/>
              </w:rPr>
              <w:t>建筑面积</w:t>
            </w:r>
          </w:p>
        </w:tc>
        <w:tc>
          <w:tcPr>
            <w:tcW w:w="1242" w:type="dxa"/>
            <w:vAlign w:val="center"/>
          </w:tcPr>
          <w:p>
            <w:pPr>
              <w:jc w:val="center"/>
              <w:rPr>
                <w:rFonts w:ascii="宋体" w:hAnsi="宋体" w:cs="宋体"/>
              </w:rPr>
            </w:pPr>
            <w:r>
              <w:rPr>
                <w:rFonts w:hint="eastAsia" w:ascii="宋体" w:hAnsi="宋体" w:cs="宋体"/>
              </w:rPr>
              <w:t>60～100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jc w:val="center"/>
        </w:trPr>
        <w:tc>
          <w:tcPr>
            <w:tcW w:w="704" w:type="dxa"/>
            <w:vAlign w:val="center"/>
          </w:tcPr>
          <w:p>
            <w:pPr>
              <w:jc w:val="center"/>
              <w:rPr>
                <w:rFonts w:ascii="宋体" w:hAnsi="宋体" w:cs="宋体"/>
              </w:rPr>
            </w:pPr>
            <w:r>
              <w:rPr>
                <w:rFonts w:hint="eastAsia" w:ascii="宋体" w:hAnsi="宋体" w:cs="宋体"/>
              </w:rPr>
              <w:t>10</w:t>
            </w:r>
          </w:p>
        </w:tc>
        <w:tc>
          <w:tcPr>
            <w:tcW w:w="1518" w:type="dxa"/>
            <w:vAlign w:val="center"/>
          </w:tcPr>
          <w:p>
            <w:pPr>
              <w:jc w:val="center"/>
              <w:rPr>
                <w:rFonts w:ascii="宋体" w:hAnsi="宋体" w:cs="宋体"/>
              </w:rPr>
            </w:pPr>
            <w:r>
              <w:rPr>
                <w:rFonts w:hint="eastAsia" w:ascii="宋体" w:hAnsi="宋体" w:cs="宋体"/>
              </w:rPr>
              <w:t>建筑内电气管线更换</w:t>
            </w:r>
          </w:p>
        </w:tc>
        <w:tc>
          <w:tcPr>
            <w:tcW w:w="3755" w:type="dxa"/>
            <w:vAlign w:val="center"/>
          </w:tcPr>
          <w:p>
            <w:pPr>
              <w:jc w:val="left"/>
              <w:rPr>
                <w:rFonts w:ascii="宋体" w:hAnsi="宋体" w:cs="宋体"/>
              </w:rPr>
            </w:pPr>
            <w:r>
              <w:rPr>
                <w:rFonts w:hint="eastAsia" w:ascii="宋体" w:hAnsi="宋体" w:cs="宋体"/>
              </w:rPr>
              <w:t>管线更换、不包括变配电设备</w:t>
            </w:r>
          </w:p>
        </w:tc>
        <w:tc>
          <w:tcPr>
            <w:tcW w:w="2135" w:type="dxa"/>
            <w:vAlign w:val="center"/>
          </w:tcPr>
          <w:p>
            <w:pPr>
              <w:jc w:val="center"/>
              <w:rPr>
                <w:rFonts w:ascii="宋体" w:hAnsi="宋体" w:cs="宋体"/>
              </w:rPr>
            </w:pPr>
            <w:r>
              <w:rPr>
                <w:rFonts w:hint="eastAsia" w:ascii="宋体" w:hAnsi="宋体" w:cs="宋体"/>
              </w:rPr>
              <w:t>建筑面积</w:t>
            </w:r>
          </w:p>
        </w:tc>
        <w:tc>
          <w:tcPr>
            <w:tcW w:w="1242" w:type="dxa"/>
            <w:vAlign w:val="center"/>
          </w:tcPr>
          <w:p>
            <w:pPr>
              <w:jc w:val="center"/>
              <w:rPr>
                <w:rFonts w:ascii="宋体" w:hAnsi="宋体" w:cs="宋体"/>
              </w:rPr>
            </w:pPr>
            <w:r>
              <w:rPr>
                <w:rFonts w:hint="eastAsia" w:ascii="宋体" w:hAnsi="宋体" w:cs="宋体"/>
              </w:rPr>
              <w:t>90～120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04" w:type="dxa"/>
            <w:vAlign w:val="center"/>
          </w:tcPr>
          <w:p>
            <w:pPr>
              <w:jc w:val="center"/>
              <w:rPr>
                <w:rFonts w:ascii="宋体" w:hAnsi="宋体" w:cs="宋体"/>
              </w:rPr>
            </w:pPr>
            <w:r>
              <w:rPr>
                <w:rFonts w:hint="eastAsia" w:ascii="宋体" w:hAnsi="宋体" w:cs="宋体"/>
              </w:rPr>
              <w:t>11</w:t>
            </w:r>
          </w:p>
        </w:tc>
        <w:tc>
          <w:tcPr>
            <w:tcW w:w="1518" w:type="dxa"/>
            <w:vAlign w:val="center"/>
          </w:tcPr>
          <w:p>
            <w:pPr>
              <w:jc w:val="center"/>
              <w:rPr>
                <w:rFonts w:ascii="宋体" w:hAnsi="宋体" w:cs="宋体"/>
              </w:rPr>
            </w:pPr>
            <w:r>
              <w:rPr>
                <w:rFonts w:hint="eastAsia" w:ascii="宋体" w:hAnsi="宋体" w:cs="宋体"/>
              </w:rPr>
              <w:t>建筑内空调管道系统</w:t>
            </w:r>
          </w:p>
        </w:tc>
        <w:tc>
          <w:tcPr>
            <w:tcW w:w="3755" w:type="dxa"/>
            <w:vAlign w:val="center"/>
          </w:tcPr>
          <w:p>
            <w:pPr>
              <w:jc w:val="left"/>
              <w:rPr>
                <w:rFonts w:ascii="宋体" w:hAnsi="宋体" w:cs="宋体"/>
              </w:rPr>
            </w:pPr>
            <w:r>
              <w:rPr>
                <w:rFonts w:hint="eastAsia" w:ascii="宋体" w:hAnsi="宋体" w:cs="宋体"/>
              </w:rPr>
              <w:t>管网更换、不包括主机及输配系统</w:t>
            </w:r>
          </w:p>
        </w:tc>
        <w:tc>
          <w:tcPr>
            <w:tcW w:w="2135" w:type="dxa"/>
            <w:vAlign w:val="center"/>
          </w:tcPr>
          <w:p>
            <w:pPr>
              <w:jc w:val="center"/>
              <w:rPr>
                <w:rFonts w:ascii="宋体" w:hAnsi="宋体" w:cs="宋体"/>
              </w:rPr>
            </w:pPr>
            <w:r>
              <w:rPr>
                <w:rFonts w:hint="eastAsia" w:ascii="宋体" w:hAnsi="宋体" w:cs="宋体"/>
              </w:rPr>
              <w:t>空调服务区域内的</w:t>
            </w:r>
          </w:p>
          <w:p>
            <w:pPr>
              <w:jc w:val="center"/>
              <w:rPr>
                <w:rFonts w:ascii="宋体" w:hAnsi="宋体" w:cs="宋体"/>
              </w:rPr>
            </w:pPr>
            <w:r>
              <w:rPr>
                <w:rFonts w:hint="eastAsia" w:ascii="宋体" w:hAnsi="宋体" w:cs="宋体"/>
              </w:rPr>
              <w:t>建筑面积</w:t>
            </w:r>
          </w:p>
        </w:tc>
        <w:tc>
          <w:tcPr>
            <w:tcW w:w="1242" w:type="dxa"/>
            <w:vAlign w:val="center"/>
          </w:tcPr>
          <w:p>
            <w:pPr>
              <w:jc w:val="center"/>
              <w:rPr>
                <w:rFonts w:ascii="宋体" w:hAnsi="宋体" w:cs="宋体"/>
              </w:rPr>
            </w:pPr>
            <w:r>
              <w:rPr>
                <w:rFonts w:hint="eastAsia" w:ascii="宋体" w:hAnsi="宋体" w:cs="宋体"/>
              </w:rPr>
              <w:t>140～150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04" w:type="dxa"/>
            <w:vAlign w:val="center"/>
          </w:tcPr>
          <w:p>
            <w:pPr>
              <w:jc w:val="center"/>
              <w:rPr>
                <w:rFonts w:ascii="宋体" w:hAnsi="宋体" w:cs="宋体"/>
              </w:rPr>
            </w:pPr>
            <w:r>
              <w:rPr>
                <w:rFonts w:hint="eastAsia" w:ascii="宋体" w:hAnsi="宋体" w:cs="宋体"/>
              </w:rPr>
              <w:t>12</w:t>
            </w:r>
          </w:p>
        </w:tc>
        <w:tc>
          <w:tcPr>
            <w:tcW w:w="1518" w:type="dxa"/>
            <w:vAlign w:val="center"/>
          </w:tcPr>
          <w:p>
            <w:pPr>
              <w:jc w:val="center"/>
              <w:rPr>
                <w:rFonts w:ascii="宋体" w:hAnsi="宋体" w:cs="宋体"/>
              </w:rPr>
            </w:pPr>
            <w:r>
              <w:rPr>
                <w:rFonts w:hint="eastAsia" w:ascii="宋体" w:hAnsi="宋体" w:cs="宋体"/>
              </w:rPr>
              <w:t>建筑内消防水系统</w:t>
            </w:r>
          </w:p>
        </w:tc>
        <w:tc>
          <w:tcPr>
            <w:tcW w:w="3755" w:type="dxa"/>
            <w:vAlign w:val="center"/>
          </w:tcPr>
          <w:p>
            <w:pPr>
              <w:jc w:val="left"/>
              <w:rPr>
                <w:rFonts w:ascii="宋体" w:hAnsi="宋体" w:cs="宋体"/>
              </w:rPr>
            </w:pPr>
            <w:r>
              <w:rPr>
                <w:rFonts w:hint="eastAsia" w:ascii="宋体" w:hAnsi="宋体" w:cs="宋体"/>
              </w:rPr>
              <w:t>含喷淋管网更换、不包括消防水泵</w:t>
            </w:r>
          </w:p>
        </w:tc>
        <w:tc>
          <w:tcPr>
            <w:tcW w:w="2135" w:type="dxa"/>
            <w:vAlign w:val="center"/>
          </w:tcPr>
          <w:p>
            <w:pPr>
              <w:jc w:val="center"/>
              <w:rPr>
                <w:rFonts w:ascii="宋体" w:hAnsi="宋体" w:cs="宋体"/>
              </w:rPr>
            </w:pPr>
            <w:r>
              <w:rPr>
                <w:rFonts w:hint="eastAsia" w:ascii="宋体" w:hAnsi="宋体" w:cs="宋体"/>
              </w:rPr>
              <w:t>消防保护区域内建筑面积</w:t>
            </w:r>
          </w:p>
        </w:tc>
        <w:tc>
          <w:tcPr>
            <w:tcW w:w="1242" w:type="dxa"/>
            <w:vAlign w:val="center"/>
          </w:tcPr>
          <w:p>
            <w:pPr>
              <w:jc w:val="center"/>
              <w:rPr>
                <w:rFonts w:ascii="宋体" w:hAnsi="宋体" w:cs="宋体"/>
              </w:rPr>
            </w:pPr>
            <w:r>
              <w:rPr>
                <w:rFonts w:hint="eastAsia" w:ascii="宋体" w:hAnsi="宋体" w:cs="宋体"/>
              </w:rPr>
              <w:t>80～120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0" w:type="dxa"/>
            <w:bottom w:w="0" w:type="dxa"/>
            <w:right w:w="100" w:type="dxa"/>
          </w:tblCellMar>
        </w:tblPrEx>
        <w:trPr>
          <w:jc w:val="center"/>
        </w:trPr>
        <w:tc>
          <w:tcPr>
            <w:tcW w:w="704" w:type="dxa"/>
            <w:vAlign w:val="center"/>
          </w:tcPr>
          <w:p>
            <w:pPr>
              <w:jc w:val="center"/>
              <w:rPr>
                <w:rFonts w:ascii="宋体" w:hAnsi="宋体" w:cs="宋体"/>
              </w:rPr>
            </w:pPr>
            <w:r>
              <w:rPr>
                <w:rFonts w:hint="eastAsia" w:ascii="宋体" w:hAnsi="宋体" w:cs="宋体"/>
              </w:rPr>
              <w:t>13</w:t>
            </w:r>
          </w:p>
        </w:tc>
        <w:tc>
          <w:tcPr>
            <w:tcW w:w="1518" w:type="dxa"/>
            <w:vAlign w:val="center"/>
          </w:tcPr>
          <w:p>
            <w:pPr>
              <w:jc w:val="center"/>
              <w:rPr>
                <w:rFonts w:ascii="宋体" w:hAnsi="宋体" w:cs="宋体"/>
              </w:rPr>
            </w:pPr>
            <w:r>
              <w:rPr>
                <w:rFonts w:hint="eastAsia" w:ascii="宋体" w:hAnsi="宋体" w:cs="宋体"/>
              </w:rPr>
              <w:t>消防自动报警系统</w:t>
            </w:r>
          </w:p>
        </w:tc>
        <w:tc>
          <w:tcPr>
            <w:tcW w:w="3755" w:type="dxa"/>
            <w:vAlign w:val="center"/>
          </w:tcPr>
          <w:p>
            <w:pPr>
              <w:jc w:val="left"/>
              <w:rPr>
                <w:rFonts w:ascii="宋体" w:hAnsi="宋体" w:cs="宋体"/>
              </w:rPr>
            </w:pPr>
            <w:r>
              <w:rPr>
                <w:rFonts w:hint="eastAsia" w:ascii="宋体" w:hAnsi="宋体" w:cs="宋体"/>
              </w:rPr>
              <w:t>管线、终端更换、不包括报控制柜</w:t>
            </w:r>
          </w:p>
        </w:tc>
        <w:tc>
          <w:tcPr>
            <w:tcW w:w="2135" w:type="dxa"/>
            <w:vAlign w:val="center"/>
          </w:tcPr>
          <w:p>
            <w:pPr>
              <w:jc w:val="center"/>
              <w:rPr>
                <w:rFonts w:ascii="宋体" w:hAnsi="宋体" w:cs="宋体"/>
              </w:rPr>
            </w:pPr>
            <w:r>
              <w:rPr>
                <w:rFonts w:hint="eastAsia" w:ascii="宋体" w:hAnsi="宋体" w:cs="宋体"/>
              </w:rPr>
              <w:t>消防保护区域内建筑面积</w:t>
            </w:r>
          </w:p>
        </w:tc>
        <w:tc>
          <w:tcPr>
            <w:tcW w:w="1242" w:type="dxa"/>
            <w:vAlign w:val="center"/>
          </w:tcPr>
          <w:p>
            <w:pPr>
              <w:jc w:val="center"/>
              <w:rPr>
                <w:rFonts w:ascii="宋体" w:hAnsi="宋体" w:cs="宋体"/>
              </w:rPr>
            </w:pPr>
            <w:r>
              <w:rPr>
                <w:rFonts w:hint="eastAsia" w:ascii="宋体" w:hAnsi="宋体" w:cs="宋体"/>
              </w:rPr>
              <w:t>80～120</w:t>
            </w:r>
          </w:p>
        </w:tc>
      </w:tr>
    </w:tbl>
    <w:p>
      <w:pPr>
        <w:pStyle w:val="183"/>
      </w:pPr>
      <w:r>
        <w:rPr>
          <w:rFonts w:hint="eastAsia"/>
        </w:rPr>
        <w:t>本表价格为工程常规维修方案估价，若有特殊要求，应另行评估计算。</w:t>
      </w:r>
    </w:p>
    <w:p>
      <w:pPr>
        <w:pStyle w:val="60"/>
        <w:ind w:firstLine="420"/>
      </w:pPr>
    </w:p>
    <w:p>
      <w:pPr>
        <w:pStyle w:val="60"/>
        <w:ind w:firstLine="420"/>
      </w:pPr>
    </w:p>
    <w:bookmarkEnd w:id="153"/>
    <w:p>
      <w:pPr>
        <w:pStyle w:val="60"/>
        <w:ind w:firstLine="0" w:firstLineChars="0"/>
        <w:jc w:val="center"/>
      </w:pPr>
      <w:bookmarkStart w:id="697" w:name="BookMark8"/>
      <w:r>
        <w:rPr>
          <w:rFonts w:hint="eastAsia"/>
        </w:rPr>
        <w:drawing>
          <wp:inline distT="0" distB="0" distL="114300" distR="114300">
            <wp:extent cx="1485900" cy="317500"/>
            <wp:effectExtent l="0" t="0" r="0" b="6350"/>
            <wp:docPr id="1" name="图片 1" descr="1"/>
            <wp:cNvGraphicFramePr/>
            <a:graphic xmlns:a="http://schemas.openxmlformats.org/drawingml/2006/main">
              <a:graphicData uri="http://schemas.openxmlformats.org/drawingml/2006/picture">
                <pic:pic xmlns:pic="http://schemas.openxmlformats.org/drawingml/2006/picture">
                  <pic:nvPicPr>
                    <pic:cNvPr id="1" name="图片 1" descr="1"/>
                    <pic:cNvPicPr/>
                  </pic:nvPicPr>
                  <pic:blipFill>
                    <a:blip r:embed="rId16"/>
                    <a:stretch>
                      <a:fillRect/>
                    </a:stretch>
                  </pic:blipFill>
                  <pic:spPr>
                    <a:xfrm>
                      <a:off x="0" y="0"/>
                      <a:ext cx="1485900" cy="317500"/>
                    </a:xfrm>
                    <a:prstGeom prst="rect">
                      <a:avLst/>
                    </a:prstGeom>
                  </pic:spPr>
                </pic:pic>
              </a:graphicData>
            </a:graphic>
          </wp:inline>
        </w:drawing>
      </w:r>
      <w:bookmarkEnd w:id="697"/>
    </w:p>
    <w:sectPr>
      <w:pgSz w:w="11906" w:h="16838"/>
      <w:pgMar w:top="1928" w:right="1134" w:bottom="1134" w:left="1134" w:header="1418" w:footer="1134" w:gutter="284"/>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ESI宋体-GB13000">
    <w:panose1 w:val="02000500000000000000"/>
    <w:charset w:val="86"/>
    <w:family w:val="auto"/>
    <w:pitch w:val="default"/>
    <w:sig w:usb0="800002BF" w:usb1="18C77CF8" w:usb2="00000016" w:usb3="00000000" w:csb0="0004000F"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NanumGothic">
    <w:panose1 w:val="020D0604000000000000"/>
    <w:charset w:val="81"/>
    <w:family w:val="auto"/>
    <w:pitch w:val="default"/>
    <w:sig w:usb0="900002A7" w:usb1="29D7FCFB" w:usb2="00000010" w:usb3="00000000" w:csb0="00080001" w:csb1="00000000"/>
  </w:font>
  <w:font w:name="等线">
    <w:altName w:val="URW Bookman"/>
    <w:panose1 w:val="00000000000000000000"/>
    <w:charset w:val="00"/>
    <w:family w:val="auto"/>
    <w:pitch w:val="default"/>
    <w:sig w:usb0="00000000" w:usb1="00000000" w:usb2="00000000" w:usb3="00000000" w:csb0="00000000" w:csb1="00000000"/>
  </w:font>
  <w:font w:name="URW Bookman">
    <w:altName w:val="Times New Roman"/>
    <w:panose1 w:val="00000400000000000000"/>
    <w:charset w:val="00"/>
    <w:family w:val="auto"/>
    <w:pitch w:val="default"/>
    <w:sig w:usb0="00000000" w:usb1="00000000" w:usb2="00000000" w:usb3="00000000" w:csb0="0000000D" w:csb1="00000000"/>
  </w:font>
  <w:font w:name="MT Extra">
    <w:panose1 w:val="020006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fldChar w:fldCharType="begin"/>
    </w:r>
    <w:r>
      <w:instrText xml:space="preserve">PAGE   \* MERGEFORMAT</w:instrText>
    </w:r>
    <w:r>
      <w:fldChar w:fldCharType="separate"/>
    </w:r>
    <w:r>
      <w:rPr>
        <w:lang w:val="zh-CN"/>
      </w:rP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ge">
                <wp:posOffset>10109835</wp:posOffset>
              </wp:positionV>
              <wp:extent cx="224790" cy="1397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224790" cy="139700"/>
                      </a:xfrm>
                      <a:prstGeom prst="rect">
                        <a:avLst/>
                      </a:prstGeom>
                      <a:noFill/>
                      <a:ln>
                        <a:noFill/>
                      </a:ln>
                    </wps:spPr>
                    <wps:txbx>
                      <w:txbxContent>
                        <w:p>
                          <w:pPr>
                            <w:spacing w:line="203" w:lineRule="exact"/>
                            <w:ind w:left="40"/>
                            <w:jc w:val="left"/>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2</w:t>
                          </w:r>
                          <w:r>
                            <w:rPr>
                              <w:sz w:val="18"/>
                              <w:szCs w:val="18"/>
                            </w:rPr>
                            <w:fldChar w:fldCharType="end"/>
                          </w:r>
                        </w:p>
                      </w:txbxContent>
                    </wps:txbx>
                    <wps:bodyPr lIns="0" tIns="0" rIns="0" bIns="0" upright="true"/>
                  </wps:wsp>
                </a:graphicData>
              </a:graphic>
            </wp:anchor>
          </w:drawing>
        </mc:Choice>
        <mc:Fallback>
          <w:pict>
            <v:shape id="_x0000_s1026" o:spid="_x0000_s1026" o:spt="202" type="#_x0000_t202" style="position:absolute;left:0pt;margin-top:796.05pt;height:11pt;width:17.7pt;mso-position-horizontal:outside;mso-position-horizontal-relative:margin;mso-position-vertical-relative:page;z-index:251659264;mso-width-relative:page;mso-height-relative:page;" filled="f" stroked="f" coordsize="21600,21600" o:gfxdata="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BYAAABkcnMvUEsBAhQAFAAAAAgA&#10;h07iQCstpRLYAAAACQEAAA8AAAAAAAAAAQAgAAAAOAAAAGRycy9kb3ducmV2LnhtbFBLAQIUABQA&#10;AAAIAIdO4kAQbdkwoQEAACkDAAAOAAAAAAAAAAEAIAAAAD0BAABkcnMvZTJvRG9jLnhtbFBLBQYA&#10;AAAABgAGAFkBAABQBQAAAAA=&#10;">
              <v:fill on="f" focussize="0,0"/>
              <v:stroke on="f"/>
              <v:imagedata o:title=""/>
              <o:lock v:ext="edit" aspectratio="f"/>
              <v:textbox inset="0mm,0mm,0mm,0mm">
                <w:txbxContent>
                  <w:p>
                    <w:pPr>
                      <w:spacing w:line="203" w:lineRule="exact"/>
                      <w:ind w:left="40"/>
                      <w:jc w:val="left"/>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2</w:t>
                    </w:r>
                    <w:r>
                      <w:rPr>
                        <w:sz w:val="1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rPr>
        <w:rFonts w:hint="eastAsia"/>
      </w:rPr>
    </w:pPr>
    <w:r>
      <w:fldChar w:fldCharType="begin"/>
    </w:r>
    <w:r>
      <w:instrText xml:space="preserve"> STYLEREF  标准文件_文件编号  \* MERGEFORMAT </w:instrText>
    </w:r>
    <w:r>
      <w:fldChar w:fldCharType="separate"/>
    </w:r>
    <w:r>
      <w:t>DB43/T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4BB3B"/>
    <w:multiLevelType w:val="multilevel"/>
    <w:tmpl w:val="82D4BB3B"/>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8A547802"/>
    <w:multiLevelType w:val="multilevel"/>
    <w:tmpl w:val="8A54780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8E268F24"/>
    <w:multiLevelType w:val="multilevel"/>
    <w:tmpl w:val="8E268F2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92DE88FC"/>
    <w:multiLevelType w:val="multilevel"/>
    <w:tmpl w:val="92DE88F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947324B5"/>
    <w:multiLevelType w:val="multilevel"/>
    <w:tmpl w:val="947324B5"/>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950881D6"/>
    <w:multiLevelType w:val="multilevel"/>
    <w:tmpl w:val="950881D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
    <w:nsid w:val="A0FFF01A"/>
    <w:multiLevelType w:val="multilevel"/>
    <w:tmpl w:val="A0FFF01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
    <w:nsid w:val="A3662B1D"/>
    <w:multiLevelType w:val="multilevel"/>
    <w:tmpl w:val="A3662B1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A86E0BCC"/>
    <w:multiLevelType w:val="multilevel"/>
    <w:tmpl w:val="A86E0BC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
    <w:nsid w:val="A93800CD"/>
    <w:multiLevelType w:val="multilevel"/>
    <w:tmpl w:val="A93800C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0">
    <w:nsid w:val="A99F72F2"/>
    <w:multiLevelType w:val="multilevel"/>
    <w:tmpl w:val="A99F72F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1">
    <w:nsid w:val="AA6F7DC2"/>
    <w:multiLevelType w:val="multilevel"/>
    <w:tmpl w:val="AA6F7DC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2">
    <w:nsid w:val="B16393C9"/>
    <w:multiLevelType w:val="multilevel"/>
    <w:tmpl w:val="B16393C9"/>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B6B7B42A"/>
    <w:multiLevelType w:val="multilevel"/>
    <w:tmpl w:val="B6B7B42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B7E553A8"/>
    <w:multiLevelType w:val="singleLevel"/>
    <w:tmpl w:val="B7E553A8"/>
    <w:lvl w:ilvl="0" w:tentative="0">
      <w:start w:val="1"/>
      <w:numFmt w:val="lowerLetter"/>
      <w:lvlText w:val="%1)"/>
      <w:lvlJc w:val="left"/>
      <w:pPr>
        <w:tabs>
          <w:tab w:val="left" w:pos="312"/>
        </w:tabs>
      </w:pPr>
    </w:lvl>
  </w:abstractNum>
  <w:abstractNum w:abstractNumId="15">
    <w:nsid w:val="B9655BB1"/>
    <w:multiLevelType w:val="multilevel"/>
    <w:tmpl w:val="B9655BB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6">
    <w:nsid w:val="C329556D"/>
    <w:multiLevelType w:val="multilevel"/>
    <w:tmpl w:val="C329556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7">
    <w:nsid w:val="CD172541"/>
    <w:multiLevelType w:val="multilevel"/>
    <w:tmpl w:val="CD17254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8">
    <w:nsid w:val="CEF87D40"/>
    <w:multiLevelType w:val="multilevel"/>
    <w:tmpl w:val="CEF87D4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9">
    <w:nsid w:val="D34239CC"/>
    <w:multiLevelType w:val="multilevel"/>
    <w:tmpl w:val="D34239C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0">
    <w:nsid w:val="D7A7F8B8"/>
    <w:multiLevelType w:val="multilevel"/>
    <w:tmpl w:val="D7A7F8B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1">
    <w:nsid w:val="D7E2CF8A"/>
    <w:multiLevelType w:val="multilevel"/>
    <w:tmpl w:val="D7E2CF8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2">
    <w:nsid w:val="D89BAE7E"/>
    <w:multiLevelType w:val="multilevel"/>
    <w:tmpl w:val="D89BAE7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3">
    <w:nsid w:val="DA46F3A3"/>
    <w:multiLevelType w:val="multilevel"/>
    <w:tmpl w:val="DA46F3A3"/>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4">
    <w:nsid w:val="DBAABA54"/>
    <w:multiLevelType w:val="singleLevel"/>
    <w:tmpl w:val="DBAABA54"/>
    <w:lvl w:ilvl="0" w:tentative="0">
      <w:start w:val="1"/>
      <w:numFmt w:val="lowerLetter"/>
      <w:lvlText w:val="%1)"/>
      <w:lvlJc w:val="left"/>
      <w:pPr>
        <w:tabs>
          <w:tab w:val="left" w:pos="312"/>
        </w:tabs>
      </w:pPr>
    </w:lvl>
  </w:abstractNum>
  <w:abstractNum w:abstractNumId="25">
    <w:nsid w:val="DD0016E5"/>
    <w:multiLevelType w:val="multilevel"/>
    <w:tmpl w:val="DD0016E5"/>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6">
    <w:nsid w:val="E0026DED"/>
    <w:multiLevelType w:val="multilevel"/>
    <w:tmpl w:val="E0026DE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7">
    <w:nsid w:val="E148C956"/>
    <w:multiLevelType w:val="multilevel"/>
    <w:tmpl w:val="E148C95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8">
    <w:nsid w:val="E1BE30EF"/>
    <w:multiLevelType w:val="multilevel"/>
    <w:tmpl w:val="E1BE30EF"/>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9">
    <w:nsid w:val="E57ECA31"/>
    <w:multiLevelType w:val="singleLevel"/>
    <w:tmpl w:val="E57ECA31"/>
    <w:lvl w:ilvl="0" w:tentative="0">
      <w:start w:val="1"/>
      <w:numFmt w:val="lowerLetter"/>
      <w:lvlText w:val="%1)"/>
      <w:lvlJc w:val="left"/>
      <w:pPr>
        <w:tabs>
          <w:tab w:val="left" w:pos="312"/>
        </w:tabs>
        <w:ind w:left="420" w:firstLine="0"/>
      </w:pPr>
    </w:lvl>
  </w:abstractNum>
  <w:abstractNum w:abstractNumId="30">
    <w:nsid w:val="E616B356"/>
    <w:multiLevelType w:val="multilevel"/>
    <w:tmpl w:val="E616B35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1">
    <w:nsid w:val="E99F3B6F"/>
    <w:multiLevelType w:val="multilevel"/>
    <w:tmpl w:val="E99F3B6F"/>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2">
    <w:nsid w:val="EBE2E3A5"/>
    <w:multiLevelType w:val="multilevel"/>
    <w:tmpl w:val="EBE2E3A5"/>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3">
    <w:nsid w:val="EC38E311"/>
    <w:multiLevelType w:val="multilevel"/>
    <w:tmpl w:val="EC38E31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4">
    <w:nsid w:val="EE858B3B"/>
    <w:multiLevelType w:val="multilevel"/>
    <w:tmpl w:val="EE858B3B"/>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5">
    <w:nsid w:val="EEB4FEA2"/>
    <w:multiLevelType w:val="multilevel"/>
    <w:tmpl w:val="EEB4FEA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6">
    <w:nsid w:val="F2070359"/>
    <w:multiLevelType w:val="multilevel"/>
    <w:tmpl w:val="F2070359"/>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7">
    <w:nsid w:val="F376BB92"/>
    <w:multiLevelType w:val="multilevel"/>
    <w:tmpl w:val="F376BB9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8">
    <w:nsid w:val="F3C5B1E6"/>
    <w:multiLevelType w:val="multilevel"/>
    <w:tmpl w:val="F3C5B1E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9">
    <w:nsid w:val="F409BF40"/>
    <w:multiLevelType w:val="multilevel"/>
    <w:tmpl w:val="F409BF4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0">
    <w:nsid w:val="F76CC794"/>
    <w:multiLevelType w:val="multilevel"/>
    <w:tmpl w:val="F76CC79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1">
    <w:nsid w:val="F7CB791A"/>
    <w:multiLevelType w:val="singleLevel"/>
    <w:tmpl w:val="F7CB791A"/>
    <w:lvl w:ilvl="0" w:tentative="0">
      <w:start w:val="1"/>
      <w:numFmt w:val="lowerLetter"/>
      <w:lvlText w:val="%1)"/>
      <w:lvlJc w:val="left"/>
      <w:pPr>
        <w:tabs>
          <w:tab w:val="left" w:pos="312"/>
        </w:tabs>
      </w:pPr>
    </w:lvl>
  </w:abstractNum>
  <w:abstractNum w:abstractNumId="42">
    <w:nsid w:val="FFBEBD30"/>
    <w:multiLevelType w:val="multilevel"/>
    <w:tmpl w:val="FFBEBD3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3">
    <w:nsid w:val="0083E0E2"/>
    <w:multiLevelType w:val="multilevel"/>
    <w:tmpl w:val="0083E0E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4">
    <w:nsid w:val="00ADA4E1"/>
    <w:multiLevelType w:val="multilevel"/>
    <w:tmpl w:val="00ADA4E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5">
    <w:nsid w:val="025ED5AD"/>
    <w:multiLevelType w:val="multilevel"/>
    <w:tmpl w:val="025ED5A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6">
    <w:nsid w:val="02837933"/>
    <w:multiLevelType w:val="multilevel"/>
    <w:tmpl w:val="02837933"/>
    <w:lvl w:ilvl="0" w:tentative="0">
      <w:start w:val="1"/>
      <w:numFmt w:val="decimal"/>
      <w:pStyle w:val="68"/>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47">
    <w:nsid w:val="0384602B"/>
    <w:multiLevelType w:val="multilevel"/>
    <w:tmpl w:val="0384602B"/>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8">
    <w:nsid w:val="03E8B47D"/>
    <w:multiLevelType w:val="multilevel"/>
    <w:tmpl w:val="03E8B47D"/>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9">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50">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51">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2">
    <w:nsid w:val="08F9E7B2"/>
    <w:multiLevelType w:val="multilevel"/>
    <w:tmpl w:val="08F9E7B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3">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4">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5">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56">
    <w:nsid w:val="13E4BEFE"/>
    <w:multiLevelType w:val="multilevel"/>
    <w:tmpl w:val="13E4BEF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7">
    <w:nsid w:val="148F55FC"/>
    <w:multiLevelType w:val="multilevel"/>
    <w:tmpl w:val="148F55FC"/>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8">
    <w:nsid w:val="17F79A56"/>
    <w:multiLevelType w:val="multilevel"/>
    <w:tmpl w:val="17F79A5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9">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0">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61">
    <w:nsid w:val="1EA8AADF"/>
    <w:multiLevelType w:val="multilevel"/>
    <w:tmpl w:val="1EA8AADF"/>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2">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63">
    <w:nsid w:val="1F89B483"/>
    <w:multiLevelType w:val="multilevel"/>
    <w:tmpl w:val="1F89B483"/>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4">
    <w:nsid w:val="22C83285"/>
    <w:multiLevelType w:val="multilevel"/>
    <w:tmpl w:val="22C83285"/>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5">
    <w:nsid w:val="2322714A"/>
    <w:multiLevelType w:val="multilevel"/>
    <w:tmpl w:val="2322714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6">
    <w:nsid w:val="25E9C26E"/>
    <w:multiLevelType w:val="multilevel"/>
    <w:tmpl w:val="25E9C26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7">
    <w:nsid w:val="29579760"/>
    <w:multiLevelType w:val="multilevel"/>
    <w:tmpl w:val="2957976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8">
    <w:nsid w:val="29613254"/>
    <w:multiLevelType w:val="multilevel"/>
    <w:tmpl w:val="2961325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69">
    <w:nsid w:val="2A0C83B7"/>
    <w:multiLevelType w:val="multilevel"/>
    <w:tmpl w:val="2A0C83B7"/>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0">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71">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72">
    <w:nsid w:val="341ED1DB"/>
    <w:multiLevelType w:val="multilevel"/>
    <w:tmpl w:val="341ED1DB"/>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3">
    <w:nsid w:val="39FA538A"/>
    <w:multiLevelType w:val="multilevel"/>
    <w:tmpl w:val="39FA538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4">
    <w:nsid w:val="3A21802A"/>
    <w:multiLevelType w:val="multilevel"/>
    <w:tmpl w:val="3A21802A"/>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5">
    <w:nsid w:val="3C4DBC35"/>
    <w:multiLevelType w:val="multilevel"/>
    <w:tmpl w:val="3C4DBC35"/>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6">
    <w:nsid w:val="445A9DDE"/>
    <w:multiLevelType w:val="multilevel"/>
    <w:tmpl w:val="445A9DD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7">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78">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79">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80">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81">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82">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83">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2552"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84">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5">
    <w:nsid w:val="58263B62"/>
    <w:multiLevelType w:val="multilevel"/>
    <w:tmpl w:val="58263B62"/>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6">
    <w:nsid w:val="59BA789E"/>
    <w:multiLevelType w:val="multilevel"/>
    <w:tmpl w:val="59BA789E"/>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7">
    <w:nsid w:val="607588D5"/>
    <w:multiLevelType w:val="multilevel"/>
    <w:tmpl w:val="607588D5"/>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8">
    <w:nsid w:val="62DAE781"/>
    <w:multiLevelType w:val="multilevel"/>
    <w:tmpl w:val="62DAE781"/>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9">
    <w:nsid w:val="634B5DE0"/>
    <w:multiLevelType w:val="multilevel"/>
    <w:tmpl w:val="634B5DE0"/>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0">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91">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2">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93">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94">
    <w:nsid w:val="679EA8E4"/>
    <w:multiLevelType w:val="multilevel"/>
    <w:tmpl w:val="679EA8E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5">
    <w:nsid w:val="68ED03A4"/>
    <w:multiLevelType w:val="multilevel"/>
    <w:tmpl w:val="68ED03A4"/>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96">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97">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8">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9">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0" w:firstLine="0"/>
      </w:pPr>
      <w:rPr>
        <w:rFonts w:hint="eastAsia" w:ascii="黑体" w:eastAsia="黑体"/>
        <w:b w:val="0"/>
        <w:i w:val="0"/>
        <w:sz w:val="21"/>
      </w:rPr>
    </w:lvl>
    <w:lvl w:ilvl="2" w:tentative="0">
      <w:start w:val="1"/>
      <w:numFmt w:val="decimal"/>
      <w:pStyle w:val="10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98"/>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00">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01">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02">
    <w:nsid w:val="6E5CE408"/>
    <w:multiLevelType w:val="multilevel"/>
    <w:tmpl w:val="6E5CE40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03">
    <w:nsid w:val="75A69F58"/>
    <w:multiLevelType w:val="multilevel"/>
    <w:tmpl w:val="75A69F58"/>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04">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5">
    <w:nsid w:val="7A378D16"/>
    <w:multiLevelType w:val="multilevel"/>
    <w:tmpl w:val="7A378D1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06">
    <w:nsid w:val="7B08B5D6"/>
    <w:multiLevelType w:val="multilevel"/>
    <w:tmpl w:val="7B08B5D6"/>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07">
    <w:nsid w:val="7EF075A5"/>
    <w:multiLevelType w:val="multilevel"/>
    <w:tmpl w:val="7EF075A5"/>
    <w:lvl w:ilvl="0" w:tentative="0">
      <w:start w:val="1"/>
      <w:numFmt w:val="lowerLetter"/>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num w:numId="1">
    <w:abstractNumId w:val="46"/>
  </w:num>
  <w:num w:numId="2">
    <w:abstractNumId w:val="99"/>
  </w:num>
  <w:num w:numId="3">
    <w:abstractNumId w:val="54"/>
  </w:num>
  <w:num w:numId="4">
    <w:abstractNumId w:val="93"/>
  </w:num>
  <w:num w:numId="5">
    <w:abstractNumId w:val="83"/>
  </w:num>
  <w:num w:numId="6">
    <w:abstractNumId w:val="78"/>
  </w:num>
  <w:num w:numId="7">
    <w:abstractNumId w:val="60"/>
  </w:num>
  <w:num w:numId="8">
    <w:abstractNumId w:val="51"/>
  </w:num>
  <w:num w:numId="9">
    <w:abstractNumId w:val="62"/>
  </w:num>
  <w:num w:numId="10">
    <w:abstractNumId w:val="81"/>
  </w:num>
  <w:num w:numId="11">
    <w:abstractNumId w:val="97"/>
  </w:num>
  <w:num w:numId="12">
    <w:abstractNumId w:val="71"/>
  </w:num>
  <w:num w:numId="13">
    <w:abstractNumId w:val="77"/>
  </w:num>
  <w:num w:numId="14">
    <w:abstractNumId w:val="59"/>
  </w:num>
  <w:num w:numId="15">
    <w:abstractNumId w:val="84"/>
  </w:num>
  <w:num w:numId="16">
    <w:abstractNumId w:val="91"/>
  </w:num>
  <w:num w:numId="17">
    <w:abstractNumId w:val="82"/>
  </w:num>
  <w:num w:numId="18">
    <w:abstractNumId w:val="101"/>
  </w:num>
  <w:num w:numId="19">
    <w:abstractNumId w:val="80"/>
  </w:num>
  <w:num w:numId="20">
    <w:abstractNumId w:val="49"/>
  </w:num>
  <w:num w:numId="21">
    <w:abstractNumId w:val="70"/>
  </w:num>
  <w:num w:numId="22">
    <w:abstractNumId w:val="104"/>
  </w:num>
  <w:num w:numId="23">
    <w:abstractNumId w:val="90"/>
  </w:num>
  <w:num w:numId="24">
    <w:abstractNumId w:val="55"/>
  </w:num>
  <w:num w:numId="25">
    <w:abstractNumId w:val="98"/>
  </w:num>
  <w:num w:numId="26">
    <w:abstractNumId w:val="100"/>
  </w:num>
  <w:num w:numId="27">
    <w:abstractNumId w:val="50"/>
  </w:num>
  <w:num w:numId="28">
    <w:abstractNumId w:val="53"/>
  </w:num>
  <w:num w:numId="29">
    <w:abstractNumId w:val="79"/>
  </w:num>
  <w:num w:numId="30">
    <w:abstractNumId w:val="96"/>
  </w:num>
  <w:num w:numId="31">
    <w:abstractNumId w:val="92"/>
  </w:num>
  <w:num w:numId="3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4"/>
  </w:num>
  <w:num w:numId="49">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1"/>
  </w:num>
  <w:num w:numId="5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dit="forms" w:enforcement="0"/>
  <w:defaultTabStop w:val="420"/>
  <w:drawingGridHorizontalSpacing w:val="105"/>
  <w:drawingGridVerticalSpacing w:val="156"/>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5C94"/>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1161"/>
    <w:rsid w:val="0015225F"/>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2A27"/>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959"/>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6897"/>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532FE"/>
    <w:rsid w:val="003615D2"/>
    <w:rsid w:val="0036429C"/>
    <w:rsid w:val="00364A53"/>
    <w:rsid w:val="003654CB"/>
    <w:rsid w:val="00365AA9"/>
    <w:rsid w:val="00365F86"/>
    <w:rsid w:val="00365F87"/>
    <w:rsid w:val="00366E89"/>
    <w:rsid w:val="003705F4"/>
    <w:rsid w:val="00370D58"/>
    <w:rsid w:val="00371316"/>
    <w:rsid w:val="00376713"/>
    <w:rsid w:val="003803A6"/>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14A"/>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1E0E"/>
    <w:rsid w:val="00492F02"/>
    <w:rsid w:val="004939AE"/>
    <w:rsid w:val="004A12DF"/>
    <w:rsid w:val="004A17E6"/>
    <w:rsid w:val="004A1BA8"/>
    <w:rsid w:val="004A4B57"/>
    <w:rsid w:val="004A63FA"/>
    <w:rsid w:val="004B0272"/>
    <w:rsid w:val="004B2701"/>
    <w:rsid w:val="004B2E1B"/>
    <w:rsid w:val="004B3AA8"/>
    <w:rsid w:val="004B3E93"/>
    <w:rsid w:val="004B6234"/>
    <w:rsid w:val="004C1FBC"/>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0677"/>
    <w:rsid w:val="00612952"/>
    <w:rsid w:val="00614CC1"/>
    <w:rsid w:val="00615A9D"/>
    <w:rsid w:val="00617387"/>
    <w:rsid w:val="006205D6"/>
    <w:rsid w:val="006252D8"/>
    <w:rsid w:val="006259BC"/>
    <w:rsid w:val="0062636B"/>
    <w:rsid w:val="00627150"/>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2F5D"/>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3918"/>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07C4B"/>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4973"/>
    <w:rsid w:val="00836D90"/>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37D9F"/>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9F0F64"/>
    <w:rsid w:val="009F6D86"/>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35C0"/>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37DFC"/>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6886"/>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016E"/>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C6264"/>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47BBC"/>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4858"/>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891"/>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18C00D6"/>
    <w:rsid w:val="03AE3AF3"/>
    <w:rsid w:val="03C86237"/>
    <w:rsid w:val="03D64DF8"/>
    <w:rsid w:val="052E6336"/>
    <w:rsid w:val="05CC0260"/>
    <w:rsid w:val="061D7F9E"/>
    <w:rsid w:val="08536A17"/>
    <w:rsid w:val="088968DD"/>
    <w:rsid w:val="0A40746F"/>
    <w:rsid w:val="0AAF1EFF"/>
    <w:rsid w:val="0B786794"/>
    <w:rsid w:val="0BB439CD"/>
    <w:rsid w:val="0BB772BD"/>
    <w:rsid w:val="0D1F336B"/>
    <w:rsid w:val="0DAF0B93"/>
    <w:rsid w:val="0FB13746"/>
    <w:rsid w:val="0FBFCF47"/>
    <w:rsid w:val="0FDF8EE6"/>
    <w:rsid w:val="10FC0B74"/>
    <w:rsid w:val="116D293F"/>
    <w:rsid w:val="11B81FE1"/>
    <w:rsid w:val="122431D2"/>
    <w:rsid w:val="138959E3"/>
    <w:rsid w:val="143E5468"/>
    <w:rsid w:val="143F0797"/>
    <w:rsid w:val="144B0EEA"/>
    <w:rsid w:val="145E0C1D"/>
    <w:rsid w:val="160B0931"/>
    <w:rsid w:val="16578269"/>
    <w:rsid w:val="170830C2"/>
    <w:rsid w:val="17CB2552"/>
    <w:rsid w:val="1B300E3A"/>
    <w:rsid w:val="1B6B7B6A"/>
    <w:rsid w:val="1BC33A5C"/>
    <w:rsid w:val="1BD17F27"/>
    <w:rsid w:val="1BDA4AC3"/>
    <w:rsid w:val="1D644DCB"/>
    <w:rsid w:val="1DC37D43"/>
    <w:rsid w:val="1DF8418D"/>
    <w:rsid w:val="1E5866DD"/>
    <w:rsid w:val="1E5F1EFE"/>
    <w:rsid w:val="1EC65D3D"/>
    <w:rsid w:val="1EF59CBC"/>
    <w:rsid w:val="1F372797"/>
    <w:rsid w:val="1F3E8B10"/>
    <w:rsid w:val="1F6F3AEE"/>
    <w:rsid w:val="1F7705BA"/>
    <w:rsid w:val="1F817EB6"/>
    <w:rsid w:val="1FA3607E"/>
    <w:rsid w:val="1FCB2B29"/>
    <w:rsid w:val="1FE81CE3"/>
    <w:rsid w:val="1FEE2209"/>
    <w:rsid w:val="1FFD782F"/>
    <w:rsid w:val="204C04C4"/>
    <w:rsid w:val="21676C37"/>
    <w:rsid w:val="218912A4"/>
    <w:rsid w:val="235011BA"/>
    <w:rsid w:val="23C93BD9"/>
    <w:rsid w:val="24DF9B8D"/>
    <w:rsid w:val="251610A0"/>
    <w:rsid w:val="26004603"/>
    <w:rsid w:val="26995AE5"/>
    <w:rsid w:val="26D42522"/>
    <w:rsid w:val="277F1BD5"/>
    <w:rsid w:val="27C6FCA2"/>
    <w:rsid w:val="27DF239F"/>
    <w:rsid w:val="28372413"/>
    <w:rsid w:val="28D54E0D"/>
    <w:rsid w:val="29BB2228"/>
    <w:rsid w:val="2AAF53A5"/>
    <w:rsid w:val="2AB0164F"/>
    <w:rsid w:val="2ACF41CB"/>
    <w:rsid w:val="2AFEC68C"/>
    <w:rsid w:val="2B200583"/>
    <w:rsid w:val="2B487ADA"/>
    <w:rsid w:val="2BCF1FA9"/>
    <w:rsid w:val="2BDF223F"/>
    <w:rsid w:val="2C26606D"/>
    <w:rsid w:val="2D720E3E"/>
    <w:rsid w:val="2F9BC3C5"/>
    <w:rsid w:val="2FDF2B76"/>
    <w:rsid w:val="30192C80"/>
    <w:rsid w:val="30444D13"/>
    <w:rsid w:val="30AB6B41"/>
    <w:rsid w:val="31603DCF"/>
    <w:rsid w:val="32981347"/>
    <w:rsid w:val="32CF20DA"/>
    <w:rsid w:val="33753436"/>
    <w:rsid w:val="33894D71"/>
    <w:rsid w:val="340B78F6"/>
    <w:rsid w:val="342A2472"/>
    <w:rsid w:val="34815534"/>
    <w:rsid w:val="34DF4A55"/>
    <w:rsid w:val="34EA2EB6"/>
    <w:rsid w:val="3507029A"/>
    <w:rsid w:val="351B1DBB"/>
    <w:rsid w:val="351E019B"/>
    <w:rsid w:val="359E6237"/>
    <w:rsid w:val="361A1702"/>
    <w:rsid w:val="3759505E"/>
    <w:rsid w:val="37904CE2"/>
    <w:rsid w:val="37D22C05"/>
    <w:rsid w:val="37EF202C"/>
    <w:rsid w:val="38AE3672"/>
    <w:rsid w:val="38B30C88"/>
    <w:rsid w:val="39700927"/>
    <w:rsid w:val="397D3044"/>
    <w:rsid w:val="3A5C70FE"/>
    <w:rsid w:val="3A6B51A0"/>
    <w:rsid w:val="3AD924FC"/>
    <w:rsid w:val="3B3911ED"/>
    <w:rsid w:val="3BFDA780"/>
    <w:rsid w:val="3C215F09"/>
    <w:rsid w:val="3C2459F9"/>
    <w:rsid w:val="3C7F0C81"/>
    <w:rsid w:val="3CF7E054"/>
    <w:rsid w:val="3D597924"/>
    <w:rsid w:val="3D7E2551"/>
    <w:rsid w:val="3DD35929"/>
    <w:rsid w:val="3E9FBC5A"/>
    <w:rsid w:val="3EA5494D"/>
    <w:rsid w:val="3EB73CA5"/>
    <w:rsid w:val="3ED92ACB"/>
    <w:rsid w:val="3F61E3B2"/>
    <w:rsid w:val="3F7B8F4F"/>
    <w:rsid w:val="3FB23F46"/>
    <w:rsid w:val="3FEB1540"/>
    <w:rsid w:val="3FEFF6DB"/>
    <w:rsid w:val="3FF04570"/>
    <w:rsid w:val="3FF5AC09"/>
    <w:rsid w:val="3FF71410"/>
    <w:rsid w:val="4097485D"/>
    <w:rsid w:val="40BC4452"/>
    <w:rsid w:val="417E7959"/>
    <w:rsid w:val="41AE4707"/>
    <w:rsid w:val="41F45E6E"/>
    <w:rsid w:val="42010A96"/>
    <w:rsid w:val="42881094"/>
    <w:rsid w:val="43413334"/>
    <w:rsid w:val="4346551C"/>
    <w:rsid w:val="43CA50D8"/>
    <w:rsid w:val="4464552C"/>
    <w:rsid w:val="454D7D6F"/>
    <w:rsid w:val="456836A8"/>
    <w:rsid w:val="46130FB8"/>
    <w:rsid w:val="46671304"/>
    <w:rsid w:val="467771F6"/>
    <w:rsid w:val="47372A84"/>
    <w:rsid w:val="474156B1"/>
    <w:rsid w:val="48036E0A"/>
    <w:rsid w:val="48CA7928"/>
    <w:rsid w:val="49066BB2"/>
    <w:rsid w:val="49CB1BAA"/>
    <w:rsid w:val="4AE66C9B"/>
    <w:rsid w:val="4B1F03FF"/>
    <w:rsid w:val="4B7C13AE"/>
    <w:rsid w:val="4BC52D55"/>
    <w:rsid w:val="4C0B44E0"/>
    <w:rsid w:val="4D0E072B"/>
    <w:rsid w:val="4D27359B"/>
    <w:rsid w:val="4D6624AE"/>
    <w:rsid w:val="4DD454D1"/>
    <w:rsid w:val="4FF260E2"/>
    <w:rsid w:val="4FFFF9B6"/>
    <w:rsid w:val="50616DC4"/>
    <w:rsid w:val="5090009D"/>
    <w:rsid w:val="50B514A3"/>
    <w:rsid w:val="51C55BA2"/>
    <w:rsid w:val="52187956"/>
    <w:rsid w:val="527A416D"/>
    <w:rsid w:val="52AB4326"/>
    <w:rsid w:val="53980D4F"/>
    <w:rsid w:val="53E051BF"/>
    <w:rsid w:val="53E6BDE5"/>
    <w:rsid w:val="53FB96E0"/>
    <w:rsid w:val="54B97F86"/>
    <w:rsid w:val="55AB1BA8"/>
    <w:rsid w:val="55DB6F93"/>
    <w:rsid w:val="55F77226"/>
    <w:rsid w:val="56755FB8"/>
    <w:rsid w:val="56F97D56"/>
    <w:rsid w:val="57372D39"/>
    <w:rsid w:val="576B22D6"/>
    <w:rsid w:val="57A2219C"/>
    <w:rsid w:val="57FFC931"/>
    <w:rsid w:val="58CB127E"/>
    <w:rsid w:val="59101387"/>
    <w:rsid w:val="599B1C53"/>
    <w:rsid w:val="59FF6059"/>
    <w:rsid w:val="5A201A9E"/>
    <w:rsid w:val="5A34173F"/>
    <w:rsid w:val="5B372BFB"/>
    <w:rsid w:val="5B7F9865"/>
    <w:rsid w:val="5BEEA51F"/>
    <w:rsid w:val="5BFF5723"/>
    <w:rsid w:val="5CDC6150"/>
    <w:rsid w:val="5DDD6464"/>
    <w:rsid w:val="5E2D6537"/>
    <w:rsid w:val="5E3D49CC"/>
    <w:rsid w:val="5EEBABB0"/>
    <w:rsid w:val="5EFA466C"/>
    <w:rsid w:val="5EFE4D34"/>
    <w:rsid w:val="5FF7FD33"/>
    <w:rsid w:val="5FF90DC7"/>
    <w:rsid w:val="6027BBD4"/>
    <w:rsid w:val="60805044"/>
    <w:rsid w:val="60B371C8"/>
    <w:rsid w:val="61E2631E"/>
    <w:rsid w:val="63BD422D"/>
    <w:rsid w:val="63FECF3C"/>
    <w:rsid w:val="6408782B"/>
    <w:rsid w:val="65476131"/>
    <w:rsid w:val="65D7268F"/>
    <w:rsid w:val="664E34EF"/>
    <w:rsid w:val="677F39F1"/>
    <w:rsid w:val="67AC37BE"/>
    <w:rsid w:val="67DB422B"/>
    <w:rsid w:val="68BE495C"/>
    <w:rsid w:val="68E87C2B"/>
    <w:rsid w:val="69270753"/>
    <w:rsid w:val="69F745C9"/>
    <w:rsid w:val="69F95566"/>
    <w:rsid w:val="6A99742E"/>
    <w:rsid w:val="6AFFFBDE"/>
    <w:rsid w:val="6B621F16"/>
    <w:rsid w:val="6B82636E"/>
    <w:rsid w:val="6B9F4ACC"/>
    <w:rsid w:val="6CB06CB1"/>
    <w:rsid w:val="6D079E72"/>
    <w:rsid w:val="6D341690"/>
    <w:rsid w:val="6D57537F"/>
    <w:rsid w:val="6DBF3AF7"/>
    <w:rsid w:val="6DF06FF4"/>
    <w:rsid w:val="6EF6BAE8"/>
    <w:rsid w:val="6EFF6BC9"/>
    <w:rsid w:val="6F3F3F1C"/>
    <w:rsid w:val="6F493937"/>
    <w:rsid w:val="6FBB9197"/>
    <w:rsid w:val="6FC50CC6"/>
    <w:rsid w:val="6FF91555"/>
    <w:rsid w:val="6FFDEEF6"/>
    <w:rsid w:val="707324D0"/>
    <w:rsid w:val="70AF4E97"/>
    <w:rsid w:val="70B76860"/>
    <w:rsid w:val="71254D1E"/>
    <w:rsid w:val="713C6D66"/>
    <w:rsid w:val="71BE777B"/>
    <w:rsid w:val="721B4BCD"/>
    <w:rsid w:val="725D7DAB"/>
    <w:rsid w:val="73722F12"/>
    <w:rsid w:val="74FD680C"/>
    <w:rsid w:val="75047B9A"/>
    <w:rsid w:val="75C438F9"/>
    <w:rsid w:val="75C64C11"/>
    <w:rsid w:val="75ED30C7"/>
    <w:rsid w:val="75FFAA2E"/>
    <w:rsid w:val="76FD6E8C"/>
    <w:rsid w:val="770B16B4"/>
    <w:rsid w:val="77354A15"/>
    <w:rsid w:val="773B8A01"/>
    <w:rsid w:val="7758442A"/>
    <w:rsid w:val="776DB74A"/>
    <w:rsid w:val="779359C5"/>
    <w:rsid w:val="77BE70F3"/>
    <w:rsid w:val="77C7A3EF"/>
    <w:rsid w:val="77C7AA8A"/>
    <w:rsid w:val="77DB9A62"/>
    <w:rsid w:val="77FB7162"/>
    <w:rsid w:val="7863107C"/>
    <w:rsid w:val="788A2AAC"/>
    <w:rsid w:val="78DC4678"/>
    <w:rsid w:val="795D1F6F"/>
    <w:rsid w:val="79792FD5"/>
    <w:rsid w:val="799F60E4"/>
    <w:rsid w:val="7A37AED3"/>
    <w:rsid w:val="7A540C7C"/>
    <w:rsid w:val="7A5F2DED"/>
    <w:rsid w:val="7A8B6668"/>
    <w:rsid w:val="7AA63CF2"/>
    <w:rsid w:val="7AD16771"/>
    <w:rsid w:val="7AFB5546"/>
    <w:rsid w:val="7AFF0413"/>
    <w:rsid w:val="7B0B7501"/>
    <w:rsid w:val="7C4A22EA"/>
    <w:rsid w:val="7C662EE9"/>
    <w:rsid w:val="7C781E7B"/>
    <w:rsid w:val="7CD95DB0"/>
    <w:rsid w:val="7CED360A"/>
    <w:rsid w:val="7CFFC0C7"/>
    <w:rsid w:val="7D7F1B9E"/>
    <w:rsid w:val="7DFED461"/>
    <w:rsid w:val="7DFFB27D"/>
    <w:rsid w:val="7E7D51F6"/>
    <w:rsid w:val="7EED2D72"/>
    <w:rsid w:val="7EEDFAB9"/>
    <w:rsid w:val="7EFD2980"/>
    <w:rsid w:val="7EFED7DC"/>
    <w:rsid w:val="7F332605"/>
    <w:rsid w:val="7F601E71"/>
    <w:rsid w:val="7FAA7590"/>
    <w:rsid w:val="7FAB10D0"/>
    <w:rsid w:val="7FBF303C"/>
    <w:rsid w:val="7FD7D195"/>
    <w:rsid w:val="7FEE5426"/>
    <w:rsid w:val="7FEEF9C1"/>
    <w:rsid w:val="7FEF4841"/>
    <w:rsid w:val="7FF4C71E"/>
    <w:rsid w:val="7FF7627A"/>
    <w:rsid w:val="97AFC5E4"/>
    <w:rsid w:val="97EFC5B5"/>
    <w:rsid w:val="99F818FD"/>
    <w:rsid w:val="9C6FCDDD"/>
    <w:rsid w:val="9FFD245E"/>
    <w:rsid w:val="AB39936F"/>
    <w:rsid w:val="AB7F7520"/>
    <w:rsid w:val="AE912649"/>
    <w:rsid w:val="AEA7C2BC"/>
    <w:rsid w:val="AF9F26FE"/>
    <w:rsid w:val="AFBD50D8"/>
    <w:rsid w:val="AFFFBF75"/>
    <w:rsid w:val="B7E56B47"/>
    <w:rsid w:val="B9FA24E2"/>
    <w:rsid w:val="BBCF4D2A"/>
    <w:rsid w:val="BBEB8B8E"/>
    <w:rsid w:val="BCD7E2AD"/>
    <w:rsid w:val="BDA4AFED"/>
    <w:rsid w:val="BDFBEC3D"/>
    <w:rsid w:val="BE0D59F7"/>
    <w:rsid w:val="BE737F31"/>
    <w:rsid w:val="BEEDD747"/>
    <w:rsid w:val="BF0F8086"/>
    <w:rsid w:val="BF9F0DCF"/>
    <w:rsid w:val="BFBB0009"/>
    <w:rsid w:val="BFF66B13"/>
    <w:rsid w:val="C7F541F2"/>
    <w:rsid w:val="CBEE3CC3"/>
    <w:rsid w:val="CCFF1865"/>
    <w:rsid w:val="CDAF4618"/>
    <w:rsid w:val="D39BD974"/>
    <w:rsid w:val="D77F676F"/>
    <w:rsid w:val="D7DF2724"/>
    <w:rsid w:val="DB97BBC1"/>
    <w:rsid w:val="DBE78C66"/>
    <w:rsid w:val="DD0F8289"/>
    <w:rsid w:val="DDB76092"/>
    <w:rsid w:val="DDED1601"/>
    <w:rsid w:val="DEFBD5B9"/>
    <w:rsid w:val="DEFE5028"/>
    <w:rsid w:val="DFDB42C0"/>
    <w:rsid w:val="DFEC4B84"/>
    <w:rsid w:val="E3D829D9"/>
    <w:rsid w:val="E9F44204"/>
    <w:rsid w:val="EBDF983B"/>
    <w:rsid w:val="EBF21673"/>
    <w:rsid w:val="EDF7EE24"/>
    <w:rsid w:val="EDFF0E83"/>
    <w:rsid w:val="EEBFA628"/>
    <w:rsid w:val="EEF72CE9"/>
    <w:rsid w:val="EF7FCC72"/>
    <w:rsid w:val="EFD7DAE5"/>
    <w:rsid w:val="EFFFB0DF"/>
    <w:rsid w:val="F569C9D3"/>
    <w:rsid w:val="F5712589"/>
    <w:rsid w:val="F6FF5AD7"/>
    <w:rsid w:val="F74BED02"/>
    <w:rsid w:val="F7E73C0C"/>
    <w:rsid w:val="F7F7DCF5"/>
    <w:rsid w:val="F7FB4236"/>
    <w:rsid w:val="F9771E11"/>
    <w:rsid w:val="F97F8170"/>
    <w:rsid w:val="F9E39765"/>
    <w:rsid w:val="F9FBED69"/>
    <w:rsid w:val="FB3FC96D"/>
    <w:rsid w:val="FBE778AC"/>
    <w:rsid w:val="FC5FD568"/>
    <w:rsid w:val="FCEACFB2"/>
    <w:rsid w:val="FD56CF52"/>
    <w:rsid w:val="FD7F4B8A"/>
    <w:rsid w:val="FDB7504C"/>
    <w:rsid w:val="FDBD9041"/>
    <w:rsid w:val="FDFF1159"/>
    <w:rsid w:val="FEF3D0D1"/>
    <w:rsid w:val="FEFE4409"/>
    <w:rsid w:val="FEFFEEEF"/>
    <w:rsid w:val="FF3D0EDC"/>
    <w:rsid w:val="FF6FA834"/>
    <w:rsid w:val="FF7D8661"/>
    <w:rsid w:val="FF7EE15D"/>
    <w:rsid w:val="FF9A58CD"/>
    <w:rsid w:val="FFBF8310"/>
    <w:rsid w:val="FFE36AD4"/>
    <w:rsid w:val="FFE89281"/>
    <w:rsid w:val="FFEF46A6"/>
    <w:rsid w:val="FFF7B47A"/>
    <w:rsid w:val="FFFE7F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rFonts w:ascii="Times New Roman" w:hAnsi="Times New Roman"/>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rFonts w:ascii="Times New Roman" w:hAnsi="Times New Roman"/>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rFonts w:ascii="Times New Roman" w:hAnsi="Times New Roman"/>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rFonts w:ascii="Times New Roman" w:hAnsi="Times New Roman"/>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4"/>
    <w:semiHidden/>
    <w:unhideWhenUsed/>
    <w:qFormat/>
    <w:uiPriority w:val="99"/>
    <w:pPr>
      <w:jc w:val="left"/>
    </w:pPr>
  </w:style>
  <w:style w:type="paragraph" w:styleId="14">
    <w:name w:val="Body Text"/>
    <w:basedOn w:val="1"/>
    <w:link w:val="90"/>
    <w:qFormat/>
    <w:uiPriority w:val="0"/>
    <w:pPr>
      <w:spacing w:after="120"/>
    </w:pPr>
    <w:rPr>
      <w:rFonts w:ascii="Times New Roman" w:hAnsi="Times New Roman"/>
      <w:szCs w:val="20"/>
    </w:r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hAnsi="Times New Roman"/>
      <w:sz w:val="18"/>
      <w:szCs w:val="18"/>
    </w:rPr>
  </w:style>
  <w:style w:type="paragraph" w:styleId="19">
    <w:name w:val="header"/>
    <w:basedOn w:val="1"/>
    <w:link w:val="47"/>
    <w:qFormat/>
    <w:uiPriority w:val="99"/>
    <w:pPr>
      <w:tabs>
        <w:tab w:val="center" w:pos="4153"/>
        <w:tab w:val="right" w:pos="8306"/>
      </w:tabs>
      <w:adjustRightInd/>
      <w:snapToGrid w:val="0"/>
      <w:jc w:val="center"/>
    </w:pPr>
    <w:rPr>
      <w:rFonts w:ascii="Times New Roman" w:hAnsi="Times New Roman"/>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3"/>
    <w:semiHidden/>
    <w:qFormat/>
    <w:uiPriority w:val="0"/>
    <w:pPr>
      <w:adjustRightInd/>
      <w:snapToGrid w:val="0"/>
      <w:spacing w:line="300" w:lineRule="exact"/>
      <w:ind w:left="400" w:leftChars="200" w:hanging="200" w:hangingChars="200"/>
      <w:jc w:val="left"/>
    </w:pPr>
    <w:rPr>
      <w:rFonts w:ascii="宋体" w:hAnsi="Times New Roman"/>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Title"/>
    <w:basedOn w:val="1"/>
    <w:link w:val="52"/>
    <w:qFormat/>
    <w:uiPriority w:val="0"/>
    <w:pPr>
      <w:spacing w:before="240" w:after="60"/>
      <w:jc w:val="center"/>
      <w:outlineLvl w:val="0"/>
    </w:pPr>
    <w:rPr>
      <w:rFonts w:ascii="Arial" w:hAnsi="Arial" w:cs="Arial"/>
      <w:b/>
      <w:bCs/>
      <w:sz w:val="32"/>
      <w:szCs w:val="32"/>
    </w:rPr>
  </w:style>
  <w:style w:type="paragraph" w:styleId="27">
    <w:name w:val="annotation subject"/>
    <w:basedOn w:val="13"/>
    <w:next w:val="13"/>
    <w:link w:val="235"/>
    <w:semiHidden/>
    <w:unhideWhenUsed/>
    <w:qFormat/>
    <w:uiPriority w:val="99"/>
    <w:rPr>
      <w:b/>
      <w:bCs/>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annotation reference"/>
    <w:basedOn w:val="30"/>
    <w:qFormat/>
    <w:uiPriority w:val="0"/>
    <w:rPr>
      <w:sz w:val="21"/>
    </w:rPr>
  </w:style>
  <w:style w:type="character" w:styleId="36">
    <w:name w:val="footnote reference"/>
    <w:semiHidden/>
    <w:qFormat/>
    <w:uiPriority w:val="0"/>
    <w:rPr>
      <w:rFonts w:ascii="宋体" w:hAnsi="宋体" w:eastAsia="宋体" w:cs="Times New Roman"/>
      <w:spacing w:val="0"/>
      <w:sz w:val="18"/>
      <w:vertAlign w:val="superscript"/>
    </w:rPr>
  </w:style>
  <w:style w:type="paragraph" w:customStyle="1" w:styleId="37">
    <w:name w:val="列出段落1"/>
    <w:basedOn w:val="1"/>
    <w:qFormat/>
    <w:uiPriority w:val="0"/>
    <w:pPr>
      <w:ind w:firstLine="420" w:firstLineChars="200"/>
    </w:pPr>
    <w:rPr>
      <w:szCs w:val="22"/>
    </w:rPr>
  </w:style>
  <w:style w:type="character" w:customStyle="1" w:styleId="38">
    <w:name w:val="标题 1 字符"/>
    <w:link w:val="2"/>
    <w:qFormat/>
    <w:uiPriority w:val="0"/>
    <w:rPr>
      <w:rFonts w:ascii="Times New Roman" w:hAnsi="Times New Roman" w:eastAsia="宋体" w:cs="Times New Roman"/>
      <w:b/>
      <w:bCs/>
      <w:kern w:val="44"/>
      <w:sz w:val="44"/>
      <w:szCs w:val="44"/>
    </w:rPr>
  </w:style>
  <w:style w:type="character" w:customStyle="1" w:styleId="39">
    <w:name w:val="标题 2 字符"/>
    <w:link w:val="3"/>
    <w:qFormat/>
    <w:uiPriority w:val="0"/>
    <w:rPr>
      <w:rFonts w:ascii="Arial" w:hAnsi="Arial" w:eastAsia="黑体" w:cs="Times New Roman"/>
      <w:b/>
      <w:bCs/>
      <w:sz w:val="32"/>
      <w:szCs w:val="32"/>
    </w:rPr>
  </w:style>
  <w:style w:type="character" w:customStyle="1" w:styleId="40">
    <w:name w:val="标题 3 字符"/>
    <w:link w:val="4"/>
    <w:qFormat/>
    <w:uiPriority w:val="0"/>
    <w:rPr>
      <w:rFonts w:ascii="Times New Roman" w:hAnsi="Times New Roman" w:eastAsia="宋体" w:cs="Times New Roman"/>
      <w:b/>
      <w:bCs/>
      <w:sz w:val="32"/>
      <w:szCs w:val="32"/>
    </w:rPr>
  </w:style>
  <w:style w:type="character" w:customStyle="1" w:styleId="41">
    <w:name w:val="标题 4 字符"/>
    <w:link w:val="5"/>
    <w:qFormat/>
    <w:uiPriority w:val="0"/>
    <w:rPr>
      <w:rFonts w:ascii="Arial" w:hAnsi="Arial" w:eastAsia="黑体" w:cs="Times New Roman"/>
      <w:b/>
      <w:bCs/>
      <w:sz w:val="28"/>
      <w:szCs w:val="28"/>
    </w:rPr>
  </w:style>
  <w:style w:type="character" w:customStyle="1" w:styleId="42">
    <w:name w:val="标题 5 字符"/>
    <w:link w:val="6"/>
    <w:qFormat/>
    <w:uiPriority w:val="0"/>
    <w:rPr>
      <w:rFonts w:ascii="Times New Roman" w:hAnsi="Times New Roman" w:eastAsia="宋体" w:cs="Times New Roman"/>
      <w:b/>
      <w:bCs/>
      <w:sz w:val="28"/>
      <w:szCs w:val="28"/>
    </w:rPr>
  </w:style>
  <w:style w:type="character" w:customStyle="1" w:styleId="43">
    <w:name w:val="标题 6 字符"/>
    <w:link w:val="7"/>
    <w:qFormat/>
    <w:uiPriority w:val="0"/>
    <w:rPr>
      <w:rFonts w:ascii="Arial" w:hAnsi="Arial" w:eastAsia="黑体" w:cs="Times New Roman"/>
      <w:b/>
      <w:bCs/>
      <w:sz w:val="24"/>
      <w:szCs w:val="24"/>
    </w:rPr>
  </w:style>
  <w:style w:type="character" w:customStyle="1" w:styleId="44">
    <w:name w:val="标题 7 字符"/>
    <w:link w:val="8"/>
    <w:qFormat/>
    <w:uiPriority w:val="0"/>
    <w:rPr>
      <w:rFonts w:ascii="Times New Roman" w:hAnsi="Times New Roman" w:eastAsia="宋体" w:cs="Times New Roman"/>
      <w:b/>
      <w:bCs/>
      <w:sz w:val="24"/>
      <w:szCs w:val="24"/>
    </w:rPr>
  </w:style>
  <w:style w:type="character" w:customStyle="1" w:styleId="45">
    <w:name w:val="标题 8 字符"/>
    <w:link w:val="9"/>
    <w:qFormat/>
    <w:uiPriority w:val="0"/>
    <w:rPr>
      <w:rFonts w:ascii="Arial" w:hAnsi="Arial" w:eastAsia="黑体" w:cs="Times New Roman"/>
      <w:sz w:val="24"/>
      <w:szCs w:val="24"/>
    </w:rPr>
  </w:style>
  <w:style w:type="character" w:customStyle="1" w:styleId="46">
    <w:name w:val="标题 9 字符"/>
    <w:link w:val="10"/>
    <w:qFormat/>
    <w:uiPriority w:val="0"/>
    <w:rPr>
      <w:rFonts w:ascii="Arial" w:hAnsi="Arial" w:eastAsia="黑体" w:cs="Times New Roman"/>
      <w:szCs w:val="21"/>
    </w:rPr>
  </w:style>
  <w:style w:type="character" w:customStyle="1" w:styleId="47">
    <w:name w:val="页眉 字符"/>
    <w:link w:val="19"/>
    <w:qFormat/>
    <w:uiPriority w:val="99"/>
    <w:rPr>
      <w:rFonts w:ascii="Times New Roman" w:hAnsi="Times New Roman" w:eastAsia="宋体" w:cs="Times New Roman"/>
      <w:sz w:val="18"/>
      <w:szCs w:val="18"/>
    </w:rPr>
  </w:style>
  <w:style w:type="character" w:customStyle="1" w:styleId="48">
    <w:name w:val="页脚 字符"/>
    <w:link w:val="18"/>
    <w:qFormat/>
    <w:uiPriority w:val="99"/>
    <w:rPr>
      <w:rFonts w:ascii="宋体" w:hAnsi="Times New Roman" w:eastAsia="宋体" w:cs="Times New Roman"/>
      <w:sz w:val="18"/>
      <w:szCs w:val="18"/>
    </w:rPr>
  </w:style>
  <w:style w:type="character" w:customStyle="1" w:styleId="49">
    <w:name w:val="批注框文本 字符"/>
    <w:link w:val="17"/>
    <w:semiHidden/>
    <w:qFormat/>
    <w:uiPriority w:val="99"/>
    <w:rPr>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rPr>
  </w:style>
  <w:style w:type="character" w:customStyle="1" w:styleId="52">
    <w:name w:val="标题 字符"/>
    <w:link w:val="26"/>
    <w:qFormat/>
    <w:uiPriority w:val="0"/>
    <w:rPr>
      <w:rFonts w:ascii="Arial" w:hAnsi="Arial" w:eastAsia="宋体" w:cs="Arial"/>
      <w:b/>
      <w:bCs/>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50" w:beforeLines="50" w:after="50" w:afterLines="50"/>
      <w:ind w:left="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rFonts w:ascii="Times New Roman" w:hAnsi="Times New Roman" w:eastAsia="宋体" w:cs="Times New Roman"/>
      <w:szCs w:val="20"/>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after="150" w:afterLines="15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ind w:left="0" w:firstLine="0"/>
    </w:pPr>
  </w:style>
  <w:style w:type="paragraph" w:customStyle="1" w:styleId="95">
    <w:name w:val="标准文件_目录标题"/>
    <w:basedOn w:val="1"/>
    <w:qFormat/>
    <w:uiPriority w:val="0"/>
    <w:pPr>
      <w:spacing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ind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pPr>
  </w:style>
  <w:style w:type="paragraph" w:customStyle="1" w:styleId="98">
    <w:name w:val="标准文件_三级条标题"/>
    <w:basedOn w:val="69"/>
    <w:next w:val="60"/>
    <w:qFormat/>
    <w:uiPriority w:val="0"/>
    <w:pPr>
      <w:widowControl/>
      <w:numPr>
        <w:ilvl w:val="4"/>
      </w:numPr>
      <w:outlineLvl w:val="3"/>
    </w:pPr>
  </w:style>
  <w:style w:type="character" w:customStyle="1" w:styleId="99">
    <w:name w:val="不明显参考1"/>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2"/>
    <w:semiHidden/>
    <w:qFormat/>
    <w:uiPriority w:val="0"/>
    <w:rPr>
      <w:rFonts w:ascii="宋体" w:hAnsi="Times New Roman" w:eastAsia="宋体" w:cs="Times New Roman"/>
      <w:sz w:val="18"/>
      <w:szCs w:val="18"/>
    </w:rPr>
  </w:style>
  <w:style w:type="paragraph" w:customStyle="1" w:styleId="104">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50" w:beforeLines="50" w:after="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ind w:left="783"/>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0"/>
    <w:semiHidden/>
    <w:qFormat/>
    <w:uiPriority w:val="99"/>
    <w:rPr>
      <w:color w:val="808080"/>
    </w:rPr>
  </w:style>
  <w:style w:type="paragraph" w:customStyle="1" w:styleId="191">
    <w:name w:val="标准文件_二级项2"/>
    <w:basedOn w:val="60"/>
    <w:qFormat/>
    <w:uiPriority w:val="0"/>
    <w:pPr>
      <w:numPr>
        <w:ilvl w:val="1"/>
        <w:numId w:val="21"/>
      </w:numPr>
      <w:ind w:firstLineChars="0"/>
    </w:pPr>
  </w:style>
  <w:style w:type="paragraph" w:customStyle="1" w:styleId="192">
    <w:name w:val="标准文件_三级项2"/>
    <w:basedOn w:val="60"/>
    <w:qFormat/>
    <w:uiPriority w:val="0"/>
    <w:pPr>
      <w:numPr>
        <w:ilvl w:val="0"/>
        <w:numId w:val="30"/>
      </w:numPr>
      <w:spacing w:line="300" w:lineRule="exact"/>
      <w:ind w:firstLineChars="0"/>
    </w:pPr>
    <w:rPr>
      <w:rFonts w:ascii="Times New Roman"/>
    </w:rPr>
  </w:style>
  <w:style w:type="paragraph" w:customStyle="1" w:styleId="193">
    <w:name w:val="标准文件_一级项2"/>
    <w:basedOn w:val="60"/>
    <w:qFormat/>
    <w:uiPriority w:val="0"/>
    <w:pPr>
      <w:numPr>
        <w:ilvl w:val="0"/>
        <w:numId w:val="31"/>
      </w:numPr>
      <w:spacing w:line="300" w:lineRule="exact"/>
      <w:ind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0"/>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vAnchor="page" w:hAnchor="page" w:x="1419" w:y="14097"/>
    </w:pPr>
  </w:style>
  <w:style w:type="paragraph" w:customStyle="1" w:styleId="198">
    <w:name w:val="其他实施日期"/>
    <w:basedOn w:val="158"/>
    <w:qFormat/>
    <w:uiPriority w:val="0"/>
    <w:pPr>
      <w:framePr w:w="3997" w:h="471" w:hRule="exact" w:vSpace="181"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0"/>
    <w:qFormat/>
    <w:uiPriority w:val="0"/>
    <w:rPr>
      <w:rFonts w:ascii="黑体" w:eastAsia="黑体"/>
      <w:spacing w:val="85"/>
      <w:w w:val="100"/>
      <w:position w:val="3"/>
      <w:sz w:val="28"/>
      <w:szCs w:val="28"/>
    </w:rPr>
  </w:style>
  <w:style w:type="character" w:customStyle="1" w:styleId="234">
    <w:name w:val="批注文字 字符"/>
    <w:basedOn w:val="30"/>
    <w:link w:val="13"/>
    <w:semiHidden/>
    <w:qFormat/>
    <w:uiPriority w:val="99"/>
    <w:rPr>
      <w:rFonts w:ascii="Calibri" w:hAnsi="Calibri"/>
      <w:kern w:val="2"/>
      <w:sz w:val="21"/>
      <w:szCs w:val="21"/>
    </w:rPr>
  </w:style>
  <w:style w:type="character" w:customStyle="1" w:styleId="235">
    <w:name w:val="批注主题 字符"/>
    <w:basedOn w:val="234"/>
    <w:link w:val="27"/>
    <w:semiHidden/>
    <w:qFormat/>
    <w:uiPriority w:val="99"/>
    <w:rPr>
      <w:rFonts w:ascii="Calibri" w:hAnsi="Calibri"/>
      <w:b/>
      <w:bCs/>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jpe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4A38090058141E5BCF867FEE79180DC"/>
        <w:style w:val=""/>
        <w:category>
          <w:name w:val="常规"/>
          <w:gallery w:val="placeholder"/>
        </w:category>
        <w:types>
          <w:type w:val="bbPlcHdr"/>
        </w:types>
        <w:behaviors>
          <w:behavior w:val="content"/>
        </w:behaviors>
        <w:description w:val=""/>
        <w:guid w:val="{3E435CD4-A942-486C-B99C-687EB01641D9}"/>
      </w:docPartPr>
      <w:docPartBody>
        <w:p>
          <w:pPr>
            <w:pStyle w:val="5"/>
            <w:rPr>
              <w:rFonts w:hint="eastAsia"/>
            </w:rPr>
          </w:pPr>
          <w:r>
            <w:rPr>
              <w:rStyle w:val="4"/>
              <w:rFonts w:hint="eastAsia"/>
            </w:rPr>
            <w:t>单击或点击此处输入文字。</w:t>
          </w:r>
        </w:p>
      </w:docPartBody>
    </w:docPart>
    <w:docPart>
      <w:docPartPr>
        <w:name w:val="83ACEA082902419DAEC754314F0D2502"/>
        <w:style w:val=""/>
        <w:category>
          <w:name w:val="常规"/>
          <w:gallery w:val="placeholder"/>
        </w:category>
        <w:types>
          <w:type w:val="bbPlcHdr"/>
        </w:types>
        <w:behaviors>
          <w:behavior w:val="content"/>
        </w:behaviors>
        <w:description w:val=""/>
        <w:guid w:val="{EAB02F69-0057-4016-B783-9EFBE6ED4674}"/>
      </w:docPartPr>
      <w:docPartBody>
        <w:p>
          <w:pPr>
            <w:pStyle w:val="6"/>
            <w:rPr>
              <w:rFonts w:hint="eastAsia"/>
            </w:rPr>
          </w:pPr>
          <w:r>
            <w:rPr>
              <w:rStyle w:val="4"/>
              <w:rFonts w:hint="eastAsia"/>
            </w:rPr>
            <w:t>选择一项。</w:t>
          </w:r>
        </w:p>
      </w:docPartBody>
    </w:docPart>
    <w:docPart>
      <w:docPartPr>
        <w:name w:val="1300A4C75D794D6291D16A5282D6F457"/>
        <w:style w:val=""/>
        <w:category>
          <w:name w:val="常规"/>
          <w:gallery w:val="placeholder"/>
        </w:category>
        <w:types>
          <w:type w:val="bbPlcHdr"/>
        </w:types>
        <w:behaviors>
          <w:behavior w:val="content"/>
        </w:behaviors>
        <w:description w:val=""/>
        <w:guid w:val="{57C2592D-AC40-4B99-9ED8-C705F3CB6DF5}"/>
      </w:docPartPr>
      <w:docPartBody>
        <w:p>
          <w:pPr>
            <w:pStyle w:val="7"/>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汉仪仿宋S"/>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MT Extra">
    <w:panose1 w:val="02000609000000000000"/>
    <w:charset w:val="00"/>
    <w:family w:val="auto"/>
    <w:pitch w:val="default"/>
    <w:sig w:usb0="00000001" w:usb1="00000000" w:usb2="00000000" w:usb3="00000000" w:csb0="00000001" w:csb1="00000000"/>
  </w:font>
  <w:font w:name="汉仪仿宋S">
    <w:panose1 w:val="00020600040101000101"/>
    <w:charset w:val="86"/>
    <w:family w:val="auto"/>
    <w:pitch w:val="default"/>
    <w:sig w:usb0="A00002BF" w:usb1="38CF7CFA" w:usb2="00000016" w:usb3="00000000" w:csb0="0004009F" w:csb1="00000000"/>
  </w:font>
  <w:font w:name="URW Bookman">
    <w:altName w:val="Times New Roman"/>
    <w:panose1 w:val="00000400000000000000"/>
    <w:charset w:val="00"/>
    <w:family w:val="auto"/>
    <w:pitch w:val="default"/>
    <w:sig w:usb0="00000000" w:usb1="00000000" w:usb2="00000000" w:usb3="00000000" w:csb0="0000000D"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3D5"/>
    <w:rsid w:val="00575F4D"/>
    <w:rsid w:val="00807C4B"/>
    <w:rsid w:val="00D96FF9"/>
    <w:rsid w:val="00F203D5"/>
    <w:rsid w:val="00F71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44A38090058141E5BCF867FEE79180DC"/>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83ACEA082902419DAEC754314F0D2502"/>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1300A4C75D794D6291D16A5282D6F457"/>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51</Pages>
  <Words>16948</Words>
  <Characters>18193</Characters>
  <Lines>3618</Lines>
  <Paragraphs>3930</Paragraphs>
  <TotalTime>69</TotalTime>
  <ScaleCrop>false</ScaleCrop>
  <LinksUpToDate>false</LinksUpToDate>
  <CharactersWithSpaces>18812</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2026-09-29T21:28:00Z</dcterms:created>
  <dc:creator>小王子</dc:creator>
  <cp:lastModifiedBy>trust</cp:lastModifiedBy>
  <cp:lastPrinted>2026-09-30T03:44:00Z</cp:lastPrinted>
  <dcterms:modified xsi:type="dcterms:W3CDTF">2026-09-30T11:26:28Z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ICV">
    <vt:lpwstr>29F648B2CC2A083601B38E6A9BE754E7_43</vt:lpwstr>
  </property>
  <property fmtid="{D5CDD505-2E9C-101B-9397-08002B2CF9AE}" pid="15" name="KSOTemplateDocerSaveRecord">
    <vt:lpwstr>eyJoZGlkIjoiZWUwZjUyZDQ5OGYwZjk5N2RkZGFhOWYyZTc0MTU5YTEiLCJ1c2VySWQiOiI0NTk2MzY0MjIifQ==</vt:lpwstr>
  </property>
  <property fmtid="{D5CDD505-2E9C-101B-9397-08002B2CF9AE}" pid="16" name="KSOProductBuildVer">
    <vt:lpwstr>2052-11.8.2.10125</vt:lpwstr>
  </property>
</Properties>
</file>