
<file path=[Content_Types].xml><?xml version="1.0" encoding="utf-8"?>
<Types xmlns="http://schemas.openxmlformats.org/package/2006/content-types">
  <Default Extension="xml" ContentType="application/xml"/>
  <Default Extension="jpeg" ContentType="image/jpe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18"/>
              <w:framePr w:wrap="notBeside" w:vAnchor="page" w:hAnchor="page" w:x="1372" w:y="568"/>
              <w:tabs>
                <w:tab w:val="clear" w:pos="4153"/>
                <w:tab w:val="clear" w:pos="8306"/>
              </w:tabs>
              <w:spacing w:line="240" w:lineRule="auto"/>
              <w:jc w:val="left"/>
              <w:rPr>
                <w:rFonts w:hint="eastAsia"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pPr>
              <w:pStyle w:val="18"/>
              <w:framePr w:wrap="notBeside" w:vAnchor="page" w:hAnchor="page" w:x="1372" w:y="568"/>
              <w:tabs>
                <w:tab w:val="clear" w:pos="4153"/>
                <w:tab w:val="clear" w:pos="8306"/>
              </w:tabs>
              <w:spacing w:line="240" w:lineRule="auto"/>
              <w:jc w:val="both"/>
              <w:rPr>
                <w:rFonts w:hint="eastAsia"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 xml:space="preserve"> </w:t>
            </w:r>
            <w:r>
              <w:rPr>
                <w:rFonts w:ascii="黑体" w:hAnsi="黑体" w:eastAsia="黑体"/>
                <w:sz w:val="21"/>
                <w:szCs w:val="21"/>
              </w:rPr>
              <w:fldChar w:fldCharType="end"/>
            </w:r>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     </w:t>
            </w:r>
            <w:r>
              <w:rPr>
                <w:rFonts w:ascii="黑体" w:hAnsi="黑体" w:eastAsia="黑体"/>
                <w:sz w:val="21"/>
                <w:szCs w:val="21"/>
              </w:rPr>
              <w:fldChar w:fldCharType="end"/>
            </w:r>
            <w:bookmarkEnd w:id="1"/>
          </w:p>
        </w:tc>
      </w:tr>
    </w:tbl>
    <w:tbl>
      <w:tblPr>
        <w:tblStyle w:val="27"/>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pPr>
              <w:pStyle w:val="49"/>
              <w:framePr w:w="0" w:hRule="auto" w:wrap="auto" w:vAnchor="margin" w:hAnchor="text" w:xAlign="left" w:yAlign="inline"/>
              <w:rPr>
                <w:rFonts w:hint="eastAsia" w:ascii="宋体" w:hAnsi="宋体"/>
                <w:sz w:val="28"/>
                <w:szCs w:val="28"/>
              </w:rPr>
            </w:pPr>
            <w:bookmarkStart w:id="2" w:name="_Hlk26473981"/>
            <w:r>
              <w:drawing>
                <wp:inline distT="0" distB="0" distL="0" distR="0">
                  <wp:extent cx="796290" cy="397510"/>
                  <wp:effectExtent l="0" t="0" r="3810" b="2540"/>
                  <wp:docPr id="3"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true"/>
                          </pic:cNvPicPr>
                        </pic:nvPicPr>
                        <pic:blipFill>
                          <a:blip r:embed="rId13" cstate="print">
                            <a:extLst>
                              <a:ext uri="{28A0092B-C50C-407E-A947-70E740481C1C}">
                                <a14:useLocalDpi xmlns:a14="http://schemas.microsoft.com/office/drawing/2010/main" val="false"/>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rPr>
                <w:rFonts w:hint="eastAsia"/>
                <w:lang w:eastAsia="zh-CN"/>
              </w:rPr>
              <w:t>4</w:t>
            </w:r>
            <w:r>
              <w:rPr>
                <w:rFonts w:hint="eastAsia"/>
                <w:lang w:val="en-US" w:eastAsia="zh-CN"/>
              </w:rPr>
              <w:t>3</w:t>
            </w:r>
            <w:r>
              <w:fldChar w:fldCharType="end"/>
            </w:r>
            <w:bookmarkEnd w:id="3"/>
          </w:p>
        </w:tc>
      </w:tr>
    </w:tbl>
    <w:p>
      <w:pPr>
        <w:pStyle w:val="50"/>
        <w:framePr w:w="9639" w:h="624" w:hRule="exact" w:hSpace="181" w:vSpace="181" w:hAnchor="page" w:x="1305" w:y="2269"/>
        <w:rPr>
          <w:rFonts w:hint="eastAsia"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lang w:eastAsia="zh-CN"/>
        </w:rPr>
        <w:t>湖南省</w:t>
      </w:r>
      <w:r>
        <w:rPr>
          <w:rFonts w:ascii="黑体" w:eastAsia="黑体"/>
          <w:b w:val="0"/>
          <w:w w:val="100"/>
          <w:sz w:val="48"/>
        </w:rPr>
        <w:fldChar w:fldCharType="end"/>
      </w:r>
      <w:bookmarkEnd w:id="4"/>
      <w:r>
        <w:rPr>
          <w:rFonts w:hint="eastAsia" w:ascii="黑体" w:hAnsi="黑体" w:eastAsia="黑体"/>
          <w:b w:val="0"/>
          <w:bCs w:val="0"/>
          <w:w w:val="100"/>
          <w:sz w:val="48"/>
          <w:szCs w:val="48"/>
        </w:rPr>
        <w:t>地方标准</w:t>
      </w:r>
    </w:p>
    <w:bookmarkEnd w:id="2"/>
    <w:p>
      <w:pPr>
        <w:pStyle w:val="195"/>
        <w:rPr>
          <w:lang w:val="fr-FR"/>
        </w:rPr>
      </w:pPr>
      <w:r>
        <w:rPr>
          <w:rFonts w:ascii="Times New Roman"/>
          <w:lang w:val="fr-FR"/>
        </w:rPr>
        <w:t>DB</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rFonts w:hint="eastAsia"/>
          <w:lang w:val="en-US" w:eastAsia="zh-CN"/>
        </w:rPr>
        <w:t>43</w:t>
      </w:r>
      <w:r>
        <w:rPr>
          <w:lang w:val="fr-FR"/>
        </w:rPr>
        <w:t>/T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rPr>
          <w:lang w:val="fr-FR"/>
        </w:rP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lang w:val="fr-FR"/>
        </w:rPr>
        <w:t>XXXX</w:t>
      </w:r>
      <w:r>
        <w:fldChar w:fldCharType="end"/>
      </w:r>
      <w:bookmarkEnd w:id="7"/>
    </w:p>
    <w:p>
      <w:pPr>
        <w:pStyle w:val="196"/>
        <w:rPr>
          <w:rFonts w:hint="eastAsia"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pPr>
        <w:spacing w:line="240" w:lineRule="auto"/>
        <w:rPr>
          <w:rFonts w:hint="eastAsia"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true"/>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WAAAAZHJzL1BLAQIUABQAAAAIAIdO4kAng0mW2AAAAAwB&#10;AAAPAAAAAAAAAAEAIAAAADgAAABkcnMvZG93bnJldi54bWxQSwECFAAUAAAACACHTuJASfTgWswB&#10;AABhAwAADgAAAAAAAAABACAAAAA9AQAAZHJzL2Uyb0RvYy54bWxQSwUGAAAAAAYABgBZAQAAewUA&#10;AAAA&#10;">
                <v:fill on="f" focussize="0,0"/>
                <v:stroke color="#000000" joinstyle="round"/>
                <v:imagedata o:title=""/>
                <o:lock v:ext="edit" aspectratio="f"/>
              </v:line>
            </w:pict>
          </mc:Fallback>
        </mc:AlternateContent>
      </w:r>
    </w:p>
    <w:p>
      <w:pPr>
        <w:pStyle w:val="50"/>
        <w:framePr w:w="9639" w:h="6976" w:hRule="exact" w:hSpace="0" w:vSpace="0" w:hAnchor="page" w:y="6408"/>
        <w:jc w:val="center"/>
        <w:rPr>
          <w:rFonts w:hint="eastAsia" w:ascii="黑体" w:hAnsi="黑体" w:eastAsia="黑体"/>
          <w:b w:val="0"/>
          <w:bCs w:val="0"/>
          <w:w w:val="100"/>
        </w:rPr>
      </w:pPr>
    </w:p>
    <w:p>
      <w:pPr>
        <w:pStyle w:val="197"/>
        <w:framePr w:h="6974" w:hRule="exact" w:wrap="around" w:x="1419" w:anchorLock="1"/>
        <w:rPr>
          <w:rFonts w:hint="eastAsia"/>
        </w:rPr>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Pr>
          <w:rFonts w:hint="eastAsia"/>
          <w:lang w:eastAsia="zh-CN"/>
        </w:rPr>
        <w:t>机关物业服务管理规范</w:t>
      </w:r>
      <w:r>
        <w:fldChar w:fldCharType="end"/>
      </w:r>
      <w:bookmarkEnd w:id="9"/>
    </w:p>
    <w:p>
      <w:pPr>
        <w:framePr w:w="9639" w:h="6974" w:hRule="exact" w:wrap="around" w:vAnchor="page" w:hAnchor="page" w:x="1419" w:y="6408" w:anchorLock="1"/>
        <w:ind w:left="-1418"/>
      </w:pPr>
    </w:p>
    <w:p>
      <w:pPr>
        <w:pStyle w:val="125"/>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10" w:name="ESTD_NAME"/>
      <w:r>
        <w:rPr>
          <w:rFonts w:eastAsia="黑体"/>
          <w:szCs w:val="28"/>
        </w:rPr>
        <w:instrText xml:space="preserve"> FORMTEXT </w:instrText>
      </w:r>
      <w:r>
        <w:rPr>
          <w:rFonts w:eastAsia="黑体"/>
          <w:szCs w:val="28"/>
        </w:rPr>
        <w:fldChar w:fldCharType="separate"/>
      </w:r>
      <w:r>
        <w:rPr>
          <w:rFonts w:hint="eastAsia" w:eastAsia="黑体"/>
          <w:szCs w:val="28"/>
        </w:rPr>
        <w:t xml:space="preserve"> </w:t>
      </w:r>
      <w:r>
        <w:rPr>
          <w:rFonts w:hint="eastAsia" w:eastAsia="黑体"/>
          <w:szCs w:val="28"/>
          <w:lang w:val="en-US" w:eastAsia="zh-CN"/>
        </w:rPr>
        <w:t>S</w:t>
      </w:r>
      <w:r>
        <w:rPr>
          <w:rFonts w:hint="eastAsia" w:eastAsia="黑体"/>
          <w:szCs w:val="28"/>
        </w:rPr>
        <w:t>pecification for property service</w:t>
      </w:r>
      <w:r>
        <w:rPr>
          <w:rFonts w:hint="eastAsia" w:eastAsia="黑体"/>
          <w:szCs w:val="28"/>
          <w:lang w:val="en-US" w:eastAsia="zh-CN"/>
        </w:rPr>
        <w:t xml:space="preserve"> management</w:t>
      </w:r>
      <w:r>
        <w:rPr>
          <w:rFonts w:hint="eastAsia" w:eastAsia="黑体"/>
          <w:szCs w:val="28"/>
        </w:rPr>
        <w:t xml:space="preserve"> in government organs     </w:t>
      </w:r>
      <w:r>
        <w:rPr>
          <w:rFonts w:eastAsia="黑体"/>
          <w:szCs w:val="28"/>
        </w:rPr>
        <w:fldChar w:fldCharType="end"/>
      </w:r>
      <w:bookmarkEnd w:id="10"/>
    </w:p>
    <w:p>
      <w:pPr>
        <w:framePr w:w="9639" w:h="6974" w:hRule="exact" w:wrap="around" w:vAnchor="page" w:hAnchor="page" w:x="1419" w:y="6408" w:anchorLock="1"/>
        <w:spacing w:line="760" w:lineRule="exact"/>
        <w:ind w:left="-1418"/>
      </w:pPr>
    </w:p>
    <w:p>
      <w:pPr>
        <w:pStyle w:val="125"/>
        <w:framePr w:w="9639" w:h="6974" w:hRule="exact" w:wrap="around" w:vAnchor="page" w:hAnchor="page" w:x="1419" w:y="6408" w:anchorLock="1"/>
        <w:textAlignment w:val="bottom"/>
        <w:rPr>
          <w:rFonts w:eastAsia="黑体"/>
          <w:szCs w:val="28"/>
        </w:rPr>
      </w:pPr>
    </w:p>
    <w:p>
      <w:pPr>
        <w:pStyle w:val="125"/>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fldChar w:fldCharType="separate"/>
      </w:r>
      <w:r>
        <w:rPr>
          <w:sz w:val="24"/>
          <w:szCs w:val="28"/>
        </w:rPr>
        <w:fldChar w:fldCharType="end"/>
      </w:r>
      <w:bookmarkEnd w:id="11"/>
    </w:p>
    <w:p>
      <w:pPr>
        <w:pStyle w:val="125"/>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r>
        <w:rPr>
          <w:rFonts w:hint="eastAsia"/>
          <w:sz w:val="21"/>
          <w:szCs w:val="28"/>
          <w:lang w:eastAsia="zh-CN"/>
        </w:rPr>
        <w:t xml:space="preserve"> </w:t>
      </w:r>
      <w:r>
        <w:rPr>
          <w:sz w:val="21"/>
          <w:szCs w:val="28"/>
        </w:rPr>
        <w:fldChar w:fldCharType="end"/>
      </w:r>
      <w:bookmarkEnd w:id="12"/>
    </w:p>
    <w:p>
      <w:pPr>
        <w:pStyle w:val="125"/>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fldChar w:fldCharType="separate"/>
      </w:r>
      <w:r>
        <w:rPr>
          <w:b/>
          <w:sz w:val="21"/>
          <w:szCs w:val="28"/>
        </w:rPr>
        <w:fldChar w:fldCharType="end"/>
      </w:r>
      <w:bookmarkEnd w:id="13"/>
    </w:p>
    <w:p>
      <w:pPr>
        <w:pStyle w:val="193"/>
        <w:framePr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rPr>
          <w:rFonts w:hint="eastAsia"/>
        </w:rPr>
        <w:t>发布</w:t>
      </w:r>
    </w:p>
    <w:p>
      <w:pPr>
        <w:pStyle w:val="194"/>
        <w:framePr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rPr>
          <w:rFonts w:hint="eastAsia"/>
        </w:rPr>
        <w:t>实施</w:t>
      </w:r>
    </w:p>
    <w:p>
      <w:pPr>
        <w:pStyle w:val="151"/>
        <w:framePr w:h="584" w:hRule="exact" w:hSpace="181" w:vSpace="181" w:y="15027"/>
        <w:rPr>
          <w:rFonts w:hint="eastAsia" w:hAnsi="黑体"/>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fldChar w:fldCharType="separate"/>
      </w:r>
      <w:r>
        <w:rPr>
          <w:rFonts w:hint="eastAsia" w:hAnsi="黑体"/>
          <w:w w:val="100"/>
          <w:sz w:val="28"/>
          <w:lang w:eastAsia="zh-CN"/>
        </w:rPr>
        <w:t>湖南省市场监督管理局</w:t>
      </w:r>
      <w:r>
        <w:rPr>
          <w:rFonts w:hAnsi="黑体"/>
          <w:w w:val="100"/>
          <w:sz w:val="28"/>
        </w:rPr>
        <w:fldChar w:fldCharType="end"/>
      </w:r>
      <w:bookmarkEnd w:id="20"/>
      <w:r>
        <w:rPr>
          <w:rFonts w:ascii="Times New Roman"/>
          <w:w w:val="100"/>
          <w:sz w:val="28"/>
        </w:rPr>
        <w:t>  </w:t>
      </w:r>
      <w:r>
        <w:rPr>
          <w:rStyle w:val="229"/>
          <w:rFonts w:hint="eastAsia" w:hAnsi="黑体"/>
          <w:position w:val="0"/>
        </w:rPr>
        <w:t>发</w:t>
      </w:r>
      <w:r>
        <w:rPr>
          <w:rStyle w:val="229"/>
          <w:rFonts w:hint="eastAsia" w:hAnsi="黑体"/>
          <w:spacing w:val="0"/>
          <w:position w:val="0"/>
        </w:rPr>
        <w:t>布</w:t>
      </w:r>
    </w:p>
    <w:p>
      <w:pPr>
        <w:rPr>
          <w:rFonts w:hint="eastAsia" w:ascii="宋体" w:hAnsi="宋体"/>
          <w:sz w:val="28"/>
          <w:szCs w:val="28"/>
        </w:rPr>
        <w:sectPr>
          <w:headerReference r:id="rId6" w:type="first"/>
          <w:footerReference r:id="rId8" w:type="first"/>
          <w:headerReference r:id="rId5" w:type="default"/>
          <w:footerReference r:id="rId7"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true"/>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CrMxz71wAAAA4BAAAP&#10;AAAAAAAAAAEAIAAAADgAAABkcnMvZG93bnJldi54bWxQSwECFAAUAAAACACHTuJAEc9x0soBAABf&#10;AwAADgAAAAAAAAABACAAAAA8AQAAZHJzL2Uyb0RvYy54bWxQSwUGAAAAAAYABgBZAQAAeAUAAAAA&#10;">
                <v:fill on="f" focussize="0,0"/>
                <v:stroke color="#000000" joinstyle="round"/>
                <v:imagedata o:title=""/>
                <o:lock v:ext="edit" aspectratio="f"/>
                <w10:anchorlock/>
              </v:line>
            </w:pict>
          </mc:Fallback>
        </mc:AlternateContent>
      </w:r>
    </w:p>
    <w:p>
      <w:pPr>
        <w:pStyle w:val="91"/>
        <w:bidi w:val="0"/>
        <w:rPr>
          <w:rFonts w:hint="eastAsia"/>
          <w:lang w:eastAsia="zh-CN"/>
        </w:rPr>
      </w:pPr>
      <w:bookmarkStart w:id="21" w:name="BookMark1"/>
      <w:r>
        <w:rPr>
          <w:rFonts w:hint="eastAsia"/>
          <w:spacing w:val="320"/>
          <w:lang w:eastAsia="zh-CN"/>
        </w:rPr>
        <w:t>目</w:t>
      </w:r>
      <w:r>
        <w:rPr>
          <w:rFonts w:hint="eastAsia"/>
          <w:lang w:eastAsia="zh-CN"/>
        </w:rPr>
        <w:t>次</w:t>
      </w:r>
    </w:p>
    <w:p>
      <w:pPr>
        <w:pStyle w:val="19"/>
        <w:tabs>
          <w:tab w:val="right" w:leader="dot" w:pos="9354"/>
        </w:tabs>
      </w:pPr>
      <w:r>
        <w:rPr>
          <w:rFonts w:hint="eastAsia"/>
          <w:spacing w:val="0"/>
          <w:lang w:eastAsia="zh-CN"/>
        </w:rPr>
        <w:fldChar w:fldCharType="begin"/>
      </w:r>
      <w:r>
        <w:rPr>
          <w:rFonts w:hint="eastAsia"/>
          <w:spacing w:val="0"/>
          <w:lang w:eastAsia="zh-CN"/>
        </w:rPr>
        <w:instrText xml:space="preserve">TOC \o "1-1" \t "标准文件_一级条标题,2,标准文件_附录一级条标题,2," \h</w:instrText>
      </w:r>
      <w:r>
        <w:rPr>
          <w:rFonts w:hint="eastAsia"/>
          <w:spacing w:val="0"/>
          <w:lang w:eastAsia="zh-CN"/>
        </w:rPr>
        <w:fldChar w:fldCharType="separate"/>
      </w:r>
      <w:r>
        <w:rPr>
          <w:rFonts w:hint="eastAsia"/>
          <w:spacing w:val="0"/>
          <w:lang w:eastAsia="zh-CN"/>
        </w:rPr>
        <w:fldChar w:fldCharType="begin"/>
      </w:r>
      <w:r>
        <w:rPr>
          <w:rFonts w:hint="eastAsia"/>
          <w:spacing w:val="0"/>
          <w:lang w:eastAsia="zh-CN"/>
        </w:rPr>
        <w:instrText xml:space="preserve"> HYPERLINK \l _Toc1703 </w:instrText>
      </w:r>
      <w:r>
        <w:rPr>
          <w:rFonts w:hint="eastAsia"/>
          <w:spacing w:val="0"/>
          <w:lang w:eastAsia="zh-CN"/>
        </w:rPr>
        <w:fldChar w:fldCharType="separate"/>
      </w:r>
      <w:r>
        <w:rPr>
          <w:rFonts w:hint="eastAsia"/>
          <w:spacing w:val="320"/>
          <w:lang w:eastAsia="zh-CN"/>
        </w:rPr>
        <w:t>前</w:t>
      </w:r>
      <w:r>
        <w:rPr>
          <w:rFonts w:hint="eastAsia"/>
          <w:lang w:eastAsia="zh-CN"/>
        </w:rPr>
        <w:t>言</w:t>
      </w:r>
      <w:r>
        <w:tab/>
      </w:r>
      <w:r>
        <w:fldChar w:fldCharType="begin"/>
      </w:r>
      <w:r>
        <w:instrText xml:space="preserve"> PAGEREF _Toc1703 \h </w:instrText>
      </w:r>
      <w:r>
        <w:fldChar w:fldCharType="separate"/>
      </w:r>
      <w:r>
        <w:t>II</w:t>
      </w:r>
      <w:r>
        <w:fldChar w:fldCharType="end"/>
      </w:r>
      <w:r>
        <w:rPr>
          <w:rFonts w:hint="eastAsia"/>
          <w:spacing w:val="0"/>
          <w:lang w:eastAsia="zh-CN"/>
        </w:rPr>
        <w:fldChar w:fldCharType="end"/>
      </w:r>
    </w:p>
    <w:p>
      <w:pPr>
        <w:pStyle w:val="19"/>
        <w:tabs>
          <w:tab w:val="right" w:leader="dot" w:pos="9354"/>
        </w:tabs>
      </w:pPr>
      <w:r>
        <w:rPr>
          <w:rFonts w:hint="eastAsia"/>
          <w:spacing w:val="0"/>
          <w:lang w:eastAsia="zh-CN"/>
        </w:rPr>
        <w:fldChar w:fldCharType="begin"/>
      </w:r>
      <w:r>
        <w:rPr>
          <w:rFonts w:hint="eastAsia"/>
          <w:spacing w:val="0"/>
          <w:lang w:eastAsia="zh-CN"/>
        </w:rPr>
        <w:instrText xml:space="preserve"> HYPERLINK \l _Toc7723 </w:instrText>
      </w:r>
      <w:r>
        <w:rPr>
          <w:rFonts w:hint="eastAsia"/>
          <w:spacing w:val="0"/>
          <w:lang w:eastAsia="zh-CN"/>
        </w:rPr>
        <w:fldChar w:fldCharType="separate"/>
      </w:r>
      <w:r>
        <w:rPr>
          <w:rFonts w:hint="eastAsia" w:ascii="黑体" w:eastAsia="黑体"/>
          <w:i w:val="0"/>
        </w:rPr>
        <w:t xml:space="preserve">1 </w:t>
      </w:r>
      <w:r>
        <w:rPr>
          <w:rFonts w:hint="eastAsia"/>
        </w:rPr>
        <w:t>范围</w:t>
      </w:r>
      <w:r>
        <w:tab/>
      </w:r>
      <w:r>
        <w:fldChar w:fldCharType="begin"/>
      </w:r>
      <w:r>
        <w:instrText xml:space="preserve"> PAGEREF _Toc7723 \h </w:instrText>
      </w:r>
      <w:r>
        <w:fldChar w:fldCharType="separate"/>
      </w:r>
      <w:r>
        <w:t>1</w:t>
      </w:r>
      <w:r>
        <w:fldChar w:fldCharType="end"/>
      </w:r>
      <w:r>
        <w:rPr>
          <w:rFonts w:hint="eastAsia"/>
          <w:spacing w:val="0"/>
          <w:lang w:eastAsia="zh-CN"/>
        </w:rPr>
        <w:fldChar w:fldCharType="end"/>
      </w:r>
    </w:p>
    <w:p>
      <w:pPr>
        <w:pStyle w:val="19"/>
        <w:tabs>
          <w:tab w:val="right" w:leader="dot" w:pos="9354"/>
        </w:tabs>
      </w:pPr>
      <w:r>
        <w:rPr>
          <w:rFonts w:hint="eastAsia"/>
          <w:spacing w:val="0"/>
          <w:lang w:eastAsia="zh-CN"/>
        </w:rPr>
        <w:fldChar w:fldCharType="begin"/>
      </w:r>
      <w:r>
        <w:rPr>
          <w:rFonts w:hint="eastAsia"/>
          <w:spacing w:val="0"/>
          <w:lang w:eastAsia="zh-CN"/>
        </w:rPr>
        <w:instrText xml:space="preserve"> HYPERLINK \l _Toc7017 </w:instrText>
      </w:r>
      <w:r>
        <w:rPr>
          <w:rFonts w:hint="eastAsia"/>
          <w:spacing w:val="0"/>
          <w:lang w:eastAsia="zh-CN"/>
        </w:rPr>
        <w:fldChar w:fldCharType="separate"/>
      </w:r>
      <w:r>
        <w:rPr>
          <w:rFonts w:hint="eastAsia" w:ascii="黑体" w:eastAsia="黑体"/>
          <w:i w:val="0"/>
        </w:rPr>
        <w:t xml:space="preserve">2 </w:t>
      </w:r>
      <w:r>
        <w:rPr>
          <w:rFonts w:hint="eastAsia"/>
        </w:rPr>
        <w:t>规范性引用文件</w:t>
      </w:r>
      <w:r>
        <w:tab/>
      </w:r>
      <w:r>
        <w:fldChar w:fldCharType="begin"/>
      </w:r>
      <w:r>
        <w:instrText xml:space="preserve"> PAGEREF _Toc7017 \h </w:instrText>
      </w:r>
      <w:r>
        <w:fldChar w:fldCharType="separate"/>
      </w:r>
      <w:r>
        <w:t>1</w:t>
      </w:r>
      <w:r>
        <w:fldChar w:fldCharType="end"/>
      </w:r>
      <w:r>
        <w:rPr>
          <w:rFonts w:hint="eastAsia"/>
          <w:spacing w:val="0"/>
          <w:lang w:eastAsia="zh-CN"/>
        </w:rPr>
        <w:fldChar w:fldCharType="end"/>
      </w:r>
    </w:p>
    <w:p>
      <w:pPr>
        <w:pStyle w:val="19"/>
        <w:tabs>
          <w:tab w:val="right" w:leader="dot" w:pos="9354"/>
        </w:tabs>
      </w:pPr>
      <w:r>
        <w:rPr>
          <w:rFonts w:hint="eastAsia"/>
          <w:spacing w:val="0"/>
          <w:lang w:eastAsia="zh-CN"/>
        </w:rPr>
        <w:fldChar w:fldCharType="begin"/>
      </w:r>
      <w:r>
        <w:rPr>
          <w:rFonts w:hint="eastAsia"/>
          <w:spacing w:val="0"/>
          <w:lang w:eastAsia="zh-CN"/>
        </w:rPr>
        <w:instrText xml:space="preserve"> HYPERLINK \l _Toc3453 </w:instrText>
      </w:r>
      <w:r>
        <w:rPr>
          <w:rFonts w:hint="eastAsia"/>
          <w:spacing w:val="0"/>
          <w:lang w:eastAsia="zh-CN"/>
        </w:rPr>
        <w:fldChar w:fldCharType="separate"/>
      </w:r>
      <w:r>
        <w:rPr>
          <w:rFonts w:hint="eastAsia" w:ascii="黑体" w:eastAsia="黑体"/>
          <w:i w:val="0"/>
        </w:rPr>
        <w:t xml:space="preserve">3 </w:t>
      </w:r>
      <w:r>
        <w:rPr>
          <w:rFonts w:hint="eastAsia"/>
        </w:rPr>
        <w:t>术语和定义</w:t>
      </w:r>
      <w:r>
        <w:tab/>
      </w:r>
      <w:r>
        <w:fldChar w:fldCharType="begin"/>
      </w:r>
      <w:r>
        <w:instrText xml:space="preserve"> PAGEREF _Toc3453 \h </w:instrText>
      </w:r>
      <w:r>
        <w:fldChar w:fldCharType="separate"/>
      </w:r>
      <w:r>
        <w:t>1</w:t>
      </w:r>
      <w:r>
        <w:fldChar w:fldCharType="end"/>
      </w:r>
      <w:r>
        <w:rPr>
          <w:rFonts w:hint="eastAsia"/>
          <w:spacing w:val="0"/>
          <w:lang w:eastAsia="zh-CN"/>
        </w:rPr>
        <w:fldChar w:fldCharType="end"/>
      </w:r>
    </w:p>
    <w:p>
      <w:pPr>
        <w:pStyle w:val="19"/>
        <w:tabs>
          <w:tab w:val="right" w:leader="dot" w:pos="9354"/>
        </w:tabs>
      </w:pPr>
      <w:r>
        <w:rPr>
          <w:rFonts w:hint="eastAsia"/>
          <w:spacing w:val="0"/>
          <w:lang w:eastAsia="zh-CN"/>
        </w:rPr>
        <w:fldChar w:fldCharType="begin"/>
      </w:r>
      <w:r>
        <w:rPr>
          <w:rFonts w:hint="eastAsia"/>
          <w:spacing w:val="0"/>
          <w:lang w:eastAsia="zh-CN"/>
        </w:rPr>
        <w:instrText xml:space="preserve"> HYPERLINK \l _Toc6730 </w:instrText>
      </w:r>
      <w:r>
        <w:rPr>
          <w:rFonts w:hint="eastAsia"/>
          <w:spacing w:val="0"/>
          <w:lang w:eastAsia="zh-CN"/>
        </w:rPr>
        <w:fldChar w:fldCharType="separate"/>
      </w:r>
      <w:r>
        <w:rPr>
          <w:rFonts w:hint="eastAsia" w:ascii="黑体" w:eastAsia="黑体"/>
          <w:i w:val="0"/>
          <w:lang w:eastAsia="zh-CN"/>
        </w:rPr>
        <w:t xml:space="preserve">4 </w:t>
      </w:r>
      <w:r>
        <w:rPr>
          <w:rFonts w:hint="eastAsia"/>
          <w:lang w:eastAsia="zh-CN"/>
        </w:rPr>
        <w:t>通用要求</w:t>
      </w:r>
      <w:r>
        <w:tab/>
      </w:r>
      <w:r>
        <w:fldChar w:fldCharType="begin"/>
      </w:r>
      <w:r>
        <w:instrText xml:space="preserve"> PAGEREF _Toc6730 \h </w:instrText>
      </w:r>
      <w:r>
        <w:fldChar w:fldCharType="separate"/>
      </w:r>
      <w:r>
        <w:t>1</w:t>
      </w:r>
      <w:r>
        <w:fldChar w:fldCharType="end"/>
      </w:r>
      <w:r>
        <w:rPr>
          <w:rFonts w:hint="eastAsia"/>
          <w:spacing w:val="0"/>
          <w:lang w:eastAsia="zh-CN"/>
        </w:rPr>
        <w:fldChar w:fldCharType="end"/>
      </w:r>
    </w:p>
    <w:p>
      <w:pPr>
        <w:pStyle w:val="24"/>
        <w:tabs>
          <w:tab w:val="right" w:leader="dot" w:pos="9354"/>
          <w:tab w:val="clear" w:pos="9344"/>
        </w:tabs>
      </w:pPr>
      <w:r>
        <w:rPr>
          <w:rFonts w:hint="eastAsia"/>
          <w:spacing w:val="0"/>
          <w:lang w:eastAsia="zh-CN"/>
        </w:rPr>
        <w:fldChar w:fldCharType="begin"/>
      </w:r>
      <w:r>
        <w:rPr>
          <w:rFonts w:hint="eastAsia"/>
          <w:spacing w:val="0"/>
          <w:lang w:eastAsia="zh-CN"/>
        </w:rPr>
        <w:instrText xml:space="preserve"> HYPERLINK \l _Toc10617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4.1 </w:t>
      </w:r>
      <w:r>
        <w:rPr>
          <w:rFonts w:hint="eastAsia"/>
          <w:lang w:eastAsia="zh-CN"/>
        </w:rPr>
        <w:t>机构要求</w:t>
      </w:r>
      <w:r>
        <w:tab/>
      </w:r>
      <w:r>
        <w:fldChar w:fldCharType="begin"/>
      </w:r>
      <w:r>
        <w:instrText xml:space="preserve"> PAGEREF _Toc10617 \h </w:instrText>
      </w:r>
      <w:r>
        <w:fldChar w:fldCharType="separate"/>
      </w:r>
      <w:r>
        <w:t>1</w:t>
      </w:r>
      <w:r>
        <w:fldChar w:fldCharType="end"/>
      </w:r>
      <w:r>
        <w:rPr>
          <w:rFonts w:hint="eastAsia"/>
          <w:spacing w:val="0"/>
          <w:lang w:eastAsia="zh-CN"/>
        </w:rPr>
        <w:fldChar w:fldCharType="end"/>
      </w:r>
    </w:p>
    <w:p>
      <w:pPr>
        <w:pStyle w:val="24"/>
        <w:tabs>
          <w:tab w:val="right" w:leader="dot" w:pos="9354"/>
          <w:tab w:val="clear" w:pos="9344"/>
        </w:tabs>
      </w:pPr>
      <w:r>
        <w:rPr>
          <w:rFonts w:hint="eastAsia"/>
          <w:spacing w:val="0"/>
          <w:lang w:eastAsia="zh-CN"/>
        </w:rPr>
        <w:fldChar w:fldCharType="begin"/>
      </w:r>
      <w:r>
        <w:rPr>
          <w:rFonts w:hint="eastAsia"/>
          <w:spacing w:val="0"/>
          <w:lang w:eastAsia="zh-CN"/>
        </w:rPr>
        <w:instrText xml:space="preserve"> HYPERLINK \l _Toc32531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4.2 </w:t>
      </w:r>
      <w:r>
        <w:rPr>
          <w:rFonts w:hint="eastAsia"/>
          <w:lang w:eastAsia="zh-CN"/>
        </w:rPr>
        <w:t>人员要求</w:t>
      </w:r>
      <w:r>
        <w:tab/>
      </w:r>
      <w:r>
        <w:fldChar w:fldCharType="begin"/>
      </w:r>
      <w:r>
        <w:instrText xml:space="preserve"> PAGEREF _Toc32531 \h </w:instrText>
      </w:r>
      <w:r>
        <w:fldChar w:fldCharType="separate"/>
      </w:r>
      <w:r>
        <w:t>1</w:t>
      </w:r>
      <w:r>
        <w:fldChar w:fldCharType="end"/>
      </w:r>
      <w:r>
        <w:rPr>
          <w:rFonts w:hint="eastAsia"/>
          <w:spacing w:val="0"/>
          <w:lang w:eastAsia="zh-CN"/>
        </w:rPr>
        <w:fldChar w:fldCharType="end"/>
      </w:r>
    </w:p>
    <w:p>
      <w:pPr>
        <w:pStyle w:val="19"/>
        <w:tabs>
          <w:tab w:val="right" w:leader="dot" w:pos="9354"/>
        </w:tabs>
      </w:pPr>
      <w:r>
        <w:rPr>
          <w:rFonts w:hint="eastAsia"/>
          <w:spacing w:val="0"/>
          <w:lang w:eastAsia="zh-CN"/>
        </w:rPr>
        <w:fldChar w:fldCharType="begin"/>
      </w:r>
      <w:r>
        <w:rPr>
          <w:rFonts w:hint="eastAsia"/>
          <w:spacing w:val="0"/>
          <w:lang w:eastAsia="zh-CN"/>
        </w:rPr>
        <w:instrText xml:space="preserve"> HYPERLINK \l _Toc18688 </w:instrText>
      </w:r>
      <w:r>
        <w:rPr>
          <w:rFonts w:hint="eastAsia"/>
          <w:spacing w:val="0"/>
          <w:lang w:eastAsia="zh-CN"/>
        </w:rPr>
        <w:fldChar w:fldCharType="separate"/>
      </w:r>
      <w:r>
        <w:rPr>
          <w:rFonts w:hint="eastAsia" w:ascii="黑体" w:eastAsia="黑体"/>
          <w:i w:val="0"/>
          <w:lang w:eastAsia="zh-CN"/>
        </w:rPr>
        <w:t xml:space="preserve">5 </w:t>
      </w:r>
      <w:r>
        <w:rPr>
          <w:rFonts w:hint="eastAsia"/>
          <w:lang w:val="en-US" w:eastAsia="zh-CN"/>
        </w:rPr>
        <w:t>物业承接管理</w:t>
      </w:r>
      <w:r>
        <w:tab/>
      </w:r>
      <w:r>
        <w:fldChar w:fldCharType="begin"/>
      </w:r>
      <w:r>
        <w:instrText xml:space="preserve"> PAGEREF _Toc18688 \h </w:instrText>
      </w:r>
      <w:r>
        <w:fldChar w:fldCharType="separate"/>
      </w:r>
      <w:r>
        <w:t>2</w:t>
      </w:r>
      <w:r>
        <w:fldChar w:fldCharType="end"/>
      </w:r>
      <w:r>
        <w:rPr>
          <w:rFonts w:hint="eastAsia"/>
          <w:spacing w:val="0"/>
          <w:lang w:eastAsia="zh-CN"/>
        </w:rPr>
        <w:fldChar w:fldCharType="end"/>
      </w:r>
    </w:p>
    <w:p>
      <w:pPr>
        <w:pStyle w:val="24"/>
        <w:tabs>
          <w:tab w:val="right" w:leader="dot" w:pos="9354"/>
          <w:tab w:val="clear" w:pos="9344"/>
        </w:tabs>
      </w:pPr>
      <w:r>
        <w:rPr>
          <w:rFonts w:hint="eastAsia"/>
          <w:spacing w:val="0"/>
          <w:lang w:eastAsia="zh-CN"/>
        </w:rPr>
        <w:fldChar w:fldCharType="begin"/>
      </w:r>
      <w:r>
        <w:rPr>
          <w:rFonts w:hint="eastAsia"/>
          <w:spacing w:val="0"/>
          <w:lang w:eastAsia="zh-CN"/>
        </w:rPr>
        <w:instrText xml:space="preserve"> HYPERLINK \l _Toc20092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5.1 </w:t>
      </w:r>
      <w:r>
        <w:rPr>
          <w:rFonts w:hint="eastAsia"/>
          <w:lang w:val="en-US" w:eastAsia="zh-CN"/>
        </w:rPr>
        <w:t>承接查验</w:t>
      </w:r>
      <w:r>
        <w:tab/>
      </w:r>
      <w:r>
        <w:fldChar w:fldCharType="begin"/>
      </w:r>
      <w:r>
        <w:instrText xml:space="preserve"> PAGEREF _Toc20092 \h </w:instrText>
      </w:r>
      <w:r>
        <w:fldChar w:fldCharType="separate"/>
      </w:r>
      <w:r>
        <w:t>2</w:t>
      </w:r>
      <w:r>
        <w:fldChar w:fldCharType="end"/>
      </w:r>
      <w:r>
        <w:rPr>
          <w:rFonts w:hint="eastAsia"/>
          <w:spacing w:val="0"/>
          <w:lang w:eastAsia="zh-CN"/>
        </w:rPr>
        <w:fldChar w:fldCharType="end"/>
      </w:r>
    </w:p>
    <w:p>
      <w:pPr>
        <w:pStyle w:val="24"/>
        <w:tabs>
          <w:tab w:val="right" w:leader="dot" w:pos="9354"/>
          <w:tab w:val="clear" w:pos="9344"/>
        </w:tabs>
      </w:pPr>
      <w:r>
        <w:rPr>
          <w:rFonts w:hint="eastAsia"/>
          <w:spacing w:val="0"/>
          <w:lang w:eastAsia="zh-CN"/>
        </w:rPr>
        <w:fldChar w:fldCharType="begin"/>
      </w:r>
      <w:r>
        <w:rPr>
          <w:rFonts w:hint="eastAsia"/>
          <w:spacing w:val="0"/>
          <w:lang w:eastAsia="zh-CN"/>
        </w:rPr>
        <w:instrText xml:space="preserve"> HYPERLINK \l _Toc2548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5.2 </w:t>
      </w:r>
      <w:r>
        <w:rPr>
          <w:rFonts w:hint="eastAsia"/>
          <w:lang w:val="en-US" w:eastAsia="zh-CN"/>
        </w:rPr>
        <w:t>现场查验</w:t>
      </w:r>
      <w:r>
        <w:tab/>
      </w:r>
      <w:r>
        <w:fldChar w:fldCharType="begin"/>
      </w:r>
      <w:r>
        <w:instrText xml:space="preserve"> PAGEREF _Toc2548 \h </w:instrText>
      </w:r>
      <w:r>
        <w:fldChar w:fldCharType="separate"/>
      </w:r>
      <w:r>
        <w:t>2</w:t>
      </w:r>
      <w:r>
        <w:fldChar w:fldCharType="end"/>
      </w:r>
      <w:r>
        <w:rPr>
          <w:rFonts w:hint="eastAsia"/>
          <w:spacing w:val="0"/>
          <w:lang w:eastAsia="zh-CN"/>
        </w:rPr>
        <w:fldChar w:fldCharType="end"/>
      </w:r>
    </w:p>
    <w:p>
      <w:pPr>
        <w:pStyle w:val="24"/>
        <w:tabs>
          <w:tab w:val="right" w:leader="dot" w:pos="9354"/>
          <w:tab w:val="clear" w:pos="9344"/>
        </w:tabs>
      </w:pPr>
      <w:r>
        <w:rPr>
          <w:rFonts w:hint="eastAsia"/>
          <w:spacing w:val="0"/>
          <w:lang w:eastAsia="zh-CN"/>
        </w:rPr>
        <w:fldChar w:fldCharType="begin"/>
      </w:r>
      <w:r>
        <w:rPr>
          <w:rFonts w:hint="eastAsia"/>
          <w:spacing w:val="0"/>
          <w:lang w:eastAsia="zh-CN"/>
        </w:rPr>
        <w:instrText xml:space="preserve"> HYPERLINK \l _Toc21178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5.3 </w:t>
      </w:r>
      <w:r>
        <w:rPr>
          <w:rFonts w:hint="eastAsia"/>
          <w:lang w:val="en-US" w:eastAsia="zh-CN"/>
        </w:rPr>
        <w:t>查验整改</w:t>
      </w:r>
      <w:r>
        <w:tab/>
      </w:r>
      <w:r>
        <w:fldChar w:fldCharType="begin"/>
      </w:r>
      <w:r>
        <w:instrText xml:space="preserve"> PAGEREF _Toc21178 \h </w:instrText>
      </w:r>
      <w:r>
        <w:fldChar w:fldCharType="separate"/>
      </w:r>
      <w:r>
        <w:t>2</w:t>
      </w:r>
      <w:r>
        <w:fldChar w:fldCharType="end"/>
      </w:r>
      <w:r>
        <w:rPr>
          <w:rFonts w:hint="eastAsia"/>
          <w:spacing w:val="0"/>
          <w:lang w:eastAsia="zh-CN"/>
        </w:rPr>
        <w:fldChar w:fldCharType="end"/>
      </w:r>
    </w:p>
    <w:p>
      <w:pPr>
        <w:pStyle w:val="24"/>
        <w:tabs>
          <w:tab w:val="right" w:leader="dot" w:pos="9354"/>
          <w:tab w:val="clear" w:pos="9344"/>
        </w:tabs>
      </w:pPr>
      <w:r>
        <w:rPr>
          <w:rFonts w:hint="eastAsia"/>
          <w:spacing w:val="0"/>
          <w:lang w:eastAsia="zh-CN"/>
        </w:rPr>
        <w:fldChar w:fldCharType="begin"/>
      </w:r>
      <w:r>
        <w:rPr>
          <w:rFonts w:hint="eastAsia"/>
          <w:spacing w:val="0"/>
          <w:lang w:eastAsia="zh-CN"/>
        </w:rPr>
        <w:instrText xml:space="preserve"> HYPERLINK \l _Toc10760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5.4 </w:t>
      </w:r>
      <w:r>
        <w:rPr>
          <w:rFonts w:hint="eastAsia"/>
          <w:lang w:val="en-US" w:eastAsia="zh-CN"/>
        </w:rPr>
        <w:t>移交与接管</w:t>
      </w:r>
      <w:r>
        <w:tab/>
      </w:r>
      <w:r>
        <w:fldChar w:fldCharType="begin"/>
      </w:r>
      <w:r>
        <w:instrText xml:space="preserve"> PAGEREF _Toc10760 \h </w:instrText>
      </w:r>
      <w:r>
        <w:fldChar w:fldCharType="separate"/>
      </w:r>
      <w:r>
        <w:t>3</w:t>
      </w:r>
      <w:r>
        <w:fldChar w:fldCharType="end"/>
      </w:r>
      <w:r>
        <w:rPr>
          <w:rFonts w:hint="eastAsia"/>
          <w:spacing w:val="0"/>
          <w:lang w:eastAsia="zh-CN"/>
        </w:rPr>
        <w:fldChar w:fldCharType="end"/>
      </w:r>
    </w:p>
    <w:p>
      <w:pPr>
        <w:pStyle w:val="24"/>
        <w:tabs>
          <w:tab w:val="right" w:leader="dot" w:pos="9354"/>
          <w:tab w:val="clear" w:pos="9344"/>
        </w:tabs>
      </w:pPr>
      <w:r>
        <w:rPr>
          <w:rFonts w:hint="eastAsia"/>
          <w:spacing w:val="0"/>
          <w:lang w:eastAsia="zh-CN"/>
        </w:rPr>
        <w:fldChar w:fldCharType="begin"/>
      </w:r>
      <w:r>
        <w:rPr>
          <w:rFonts w:hint="eastAsia"/>
          <w:spacing w:val="0"/>
          <w:lang w:eastAsia="zh-CN"/>
        </w:rPr>
        <w:instrText xml:space="preserve"> HYPERLINK \l _Toc26022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5.5 </w:t>
      </w:r>
      <w:r>
        <w:rPr>
          <w:rFonts w:hint="eastAsia"/>
          <w:lang w:eastAsia="zh-CN"/>
        </w:rPr>
        <w:t>既有物业转接特殊</w:t>
      </w:r>
      <w:r>
        <w:rPr>
          <w:rFonts w:hint="eastAsia"/>
          <w:lang w:val="en-US" w:eastAsia="zh-CN"/>
        </w:rPr>
        <w:t>需求</w:t>
      </w:r>
      <w:r>
        <w:tab/>
      </w:r>
      <w:r>
        <w:fldChar w:fldCharType="begin"/>
      </w:r>
      <w:r>
        <w:instrText xml:space="preserve"> PAGEREF _Toc26022 \h </w:instrText>
      </w:r>
      <w:r>
        <w:fldChar w:fldCharType="separate"/>
      </w:r>
      <w:r>
        <w:t>3</w:t>
      </w:r>
      <w:r>
        <w:fldChar w:fldCharType="end"/>
      </w:r>
      <w:r>
        <w:rPr>
          <w:rFonts w:hint="eastAsia"/>
          <w:spacing w:val="0"/>
          <w:lang w:eastAsia="zh-CN"/>
        </w:rPr>
        <w:fldChar w:fldCharType="end"/>
      </w:r>
    </w:p>
    <w:p>
      <w:pPr>
        <w:pStyle w:val="19"/>
        <w:tabs>
          <w:tab w:val="right" w:leader="dot" w:pos="9354"/>
        </w:tabs>
      </w:pPr>
      <w:r>
        <w:rPr>
          <w:rFonts w:hint="eastAsia"/>
          <w:spacing w:val="0"/>
          <w:lang w:eastAsia="zh-CN"/>
        </w:rPr>
        <w:fldChar w:fldCharType="begin"/>
      </w:r>
      <w:r>
        <w:rPr>
          <w:rFonts w:hint="eastAsia"/>
          <w:spacing w:val="0"/>
          <w:lang w:eastAsia="zh-CN"/>
        </w:rPr>
        <w:instrText xml:space="preserve"> HYPERLINK \l _Toc10983 </w:instrText>
      </w:r>
      <w:r>
        <w:rPr>
          <w:rFonts w:hint="eastAsia"/>
          <w:spacing w:val="0"/>
          <w:lang w:eastAsia="zh-CN"/>
        </w:rPr>
        <w:fldChar w:fldCharType="separate"/>
      </w:r>
      <w:r>
        <w:rPr>
          <w:rFonts w:hint="eastAsia" w:ascii="黑体" w:eastAsia="黑体"/>
          <w:i w:val="0"/>
          <w:lang w:eastAsia="zh-CN"/>
        </w:rPr>
        <w:t xml:space="preserve">6 </w:t>
      </w:r>
      <w:r>
        <w:rPr>
          <w:rFonts w:hint="eastAsia"/>
          <w:lang w:eastAsia="zh-CN"/>
        </w:rPr>
        <w:t>服务内容与要求</w:t>
      </w:r>
      <w:r>
        <w:tab/>
      </w:r>
      <w:r>
        <w:fldChar w:fldCharType="begin"/>
      </w:r>
      <w:r>
        <w:instrText xml:space="preserve"> PAGEREF _Toc10983 \h </w:instrText>
      </w:r>
      <w:r>
        <w:fldChar w:fldCharType="separate"/>
      </w:r>
      <w:r>
        <w:t>3</w:t>
      </w:r>
      <w:r>
        <w:fldChar w:fldCharType="end"/>
      </w:r>
      <w:r>
        <w:rPr>
          <w:rFonts w:hint="eastAsia"/>
          <w:spacing w:val="0"/>
          <w:lang w:eastAsia="zh-CN"/>
        </w:rPr>
        <w:fldChar w:fldCharType="end"/>
      </w:r>
    </w:p>
    <w:p>
      <w:pPr>
        <w:pStyle w:val="24"/>
        <w:tabs>
          <w:tab w:val="right" w:leader="dot" w:pos="9354"/>
          <w:tab w:val="clear" w:pos="9344"/>
        </w:tabs>
      </w:pPr>
      <w:r>
        <w:rPr>
          <w:rFonts w:hint="eastAsia"/>
          <w:spacing w:val="0"/>
          <w:lang w:eastAsia="zh-CN"/>
        </w:rPr>
        <w:fldChar w:fldCharType="begin"/>
      </w:r>
      <w:r>
        <w:rPr>
          <w:rFonts w:hint="eastAsia"/>
          <w:spacing w:val="0"/>
          <w:lang w:eastAsia="zh-CN"/>
        </w:rPr>
        <w:instrText xml:space="preserve"> HYPERLINK \l _Toc31942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6.1 </w:t>
      </w:r>
      <w:r>
        <w:rPr>
          <w:rFonts w:hint="eastAsia"/>
          <w:lang w:val="en-US" w:eastAsia="zh-CN"/>
        </w:rPr>
        <w:t>公共秩序维护服务</w:t>
      </w:r>
      <w:r>
        <w:tab/>
      </w:r>
      <w:r>
        <w:fldChar w:fldCharType="begin"/>
      </w:r>
      <w:r>
        <w:instrText xml:space="preserve"> PAGEREF _Toc31942 \h </w:instrText>
      </w:r>
      <w:r>
        <w:fldChar w:fldCharType="separate"/>
      </w:r>
      <w:r>
        <w:t>3</w:t>
      </w:r>
      <w:r>
        <w:fldChar w:fldCharType="end"/>
      </w:r>
      <w:r>
        <w:rPr>
          <w:rFonts w:hint="eastAsia"/>
          <w:spacing w:val="0"/>
          <w:lang w:eastAsia="zh-CN"/>
        </w:rPr>
        <w:fldChar w:fldCharType="end"/>
      </w:r>
    </w:p>
    <w:p>
      <w:pPr>
        <w:pStyle w:val="24"/>
        <w:tabs>
          <w:tab w:val="right" w:leader="dot" w:pos="9354"/>
          <w:tab w:val="clear" w:pos="9344"/>
        </w:tabs>
      </w:pPr>
      <w:r>
        <w:rPr>
          <w:rFonts w:hint="eastAsia"/>
          <w:spacing w:val="0"/>
          <w:lang w:eastAsia="zh-CN"/>
        </w:rPr>
        <w:fldChar w:fldCharType="begin"/>
      </w:r>
      <w:r>
        <w:rPr>
          <w:rFonts w:hint="eastAsia"/>
          <w:spacing w:val="0"/>
          <w:lang w:eastAsia="zh-CN"/>
        </w:rPr>
        <w:instrText xml:space="preserve"> HYPERLINK \l _Toc17523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6.2 </w:t>
      </w:r>
      <w:r>
        <w:rPr>
          <w:rFonts w:hint="eastAsia"/>
          <w:lang w:val="en-US" w:eastAsia="zh-CN"/>
        </w:rPr>
        <w:t>会务服务</w:t>
      </w:r>
      <w:r>
        <w:tab/>
      </w:r>
      <w:r>
        <w:fldChar w:fldCharType="begin"/>
      </w:r>
      <w:r>
        <w:instrText xml:space="preserve"> PAGEREF _Toc17523 \h </w:instrText>
      </w:r>
      <w:r>
        <w:fldChar w:fldCharType="separate"/>
      </w:r>
      <w:r>
        <w:t>4</w:t>
      </w:r>
      <w:r>
        <w:fldChar w:fldCharType="end"/>
      </w:r>
      <w:r>
        <w:rPr>
          <w:rFonts w:hint="eastAsia"/>
          <w:spacing w:val="0"/>
          <w:lang w:eastAsia="zh-CN"/>
        </w:rPr>
        <w:fldChar w:fldCharType="end"/>
      </w:r>
    </w:p>
    <w:p>
      <w:pPr>
        <w:pStyle w:val="24"/>
        <w:tabs>
          <w:tab w:val="right" w:leader="dot" w:pos="9354"/>
          <w:tab w:val="clear" w:pos="9344"/>
        </w:tabs>
      </w:pPr>
      <w:r>
        <w:rPr>
          <w:rFonts w:hint="eastAsia"/>
          <w:spacing w:val="0"/>
          <w:lang w:eastAsia="zh-CN"/>
        </w:rPr>
        <w:fldChar w:fldCharType="begin"/>
      </w:r>
      <w:r>
        <w:rPr>
          <w:rFonts w:hint="eastAsia"/>
          <w:spacing w:val="0"/>
          <w:lang w:eastAsia="zh-CN"/>
        </w:rPr>
        <w:instrText xml:space="preserve"> HYPERLINK \l _Toc3844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6.3 </w:t>
      </w:r>
      <w:r>
        <w:rPr>
          <w:rFonts w:hint="eastAsia"/>
          <w:lang w:val="en-US" w:eastAsia="zh-CN"/>
        </w:rPr>
        <w:t>设施设备运行维护管理服务</w:t>
      </w:r>
      <w:r>
        <w:tab/>
      </w:r>
      <w:r>
        <w:fldChar w:fldCharType="begin"/>
      </w:r>
      <w:r>
        <w:instrText xml:space="preserve"> PAGEREF _Toc3844 \h </w:instrText>
      </w:r>
      <w:r>
        <w:fldChar w:fldCharType="separate"/>
      </w:r>
      <w:r>
        <w:t>5</w:t>
      </w:r>
      <w:r>
        <w:fldChar w:fldCharType="end"/>
      </w:r>
      <w:r>
        <w:rPr>
          <w:rFonts w:hint="eastAsia"/>
          <w:spacing w:val="0"/>
          <w:lang w:eastAsia="zh-CN"/>
        </w:rPr>
        <w:fldChar w:fldCharType="end"/>
      </w:r>
    </w:p>
    <w:p>
      <w:pPr>
        <w:pStyle w:val="24"/>
        <w:tabs>
          <w:tab w:val="right" w:leader="dot" w:pos="9354"/>
          <w:tab w:val="clear" w:pos="9344"/>
        </w:tabs>
      </w:pPr>
      <w:r>
        <w:rPr>
          <w:rFonts w:hint="eastAsia"/>
          <w:spacing w:val="0"/>
          <w:lang w:eastAsia="zh-CN"/>
        </w:rPr>
        <w:fldChar w:fldCharType="begin"/>
      </w:r>
      <w:r>
        <w:rPr>
          <w:rFonts w:hint="eastAsia"/>
          <w:spacing w:val="0"/>
          <w:lang w:eastAsia="zh-CN"/>
        </w:rPr>
        <w:instrText xml:space="preserve"> HYPERLINK \l _Toc32309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6.4 </w:t>
      </w:r>
      <w:r>
        <w:rPr>
          <w:rFonts w:hint="eastAsia"/>
          <w:lang w:val="en-US" w:eastAsia="zh-CN"/>
        </w:rPr>
        <w:t>保洁服务</w:t>
      </w:r>
      <w:r>
        <w:tab/>
      </w:r>
      <w:r>
        <w:fldChar w:fldCharType="begin"/>
      </w:r>
      <w:r>
        <w:instrText xml:space="preserve"> PAGEREF _Toc32309 \h </w:instrText>
      </w:r>
      <w:r>
        <w:fldChar w:fldCharType="separate"/>
      </w:r>
      <w:r>
        <w:t>5</w:t>
      </w:r>
      <w:r>
        <w:fldChar w:fldCharType="end"/>
      </w:r>
      <w:r>
        <w:rPr>
          <w:rFonts w:hint="eastAsia"/>
          <w:spacing w:val="0"/>
          <w:lang w:eastAsia="zh-CN"/>
        </w:rPr>
        <w:fldChar w:fldCharType="end"/>
      </w:r>
    </w:p>
    <w:p>
      <w:pPr>
        <w:pStyle w:val="24"/>
        <w:tabs>
          <w:tab w:val="right" w:leader="dot" w:pos="9354"/>
          <w:tab w:val="clear" w:pos="9344"/>
        </w:tabs>
      </w:pPr>
      <w:r>
        <w:rPr>
          <w:rFonts w:hint="eastAsia"/>
          <w:spacing w:val="0"/>
          <w:lang w:eastAsia="zh-CN"/>
        </w:rPr>
        <w:fldChar w:fldCharType="begin"/>
      </w:r>
      <w:r>
        <w:rPr>
          <w:rFonts w:hint="eastAsia"/>
          <w:spacing w:val="0"/>
          <w:lang w:eastAsia="zh-CN"/>
        </w:rPr>
        <w:instrText xml:space="preserve"> HYPERLINK \l _Toc26852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6.5 </w:t>
      </w:r>
      <w:r>
        <w:rPr>
          <w:rFonts w:hint="eastAsia"/>
          <w:lang w:val="en-US" w:eastAsia="zh-CN"/>
        </w:rPr>
        <w:t>绿化服务</w:t>
      </w:r>
      <w:r>
        <w:tab/>
      </w:r>
      <w:r>
        <w:fldChar w:fldCharType="begin"/>
      </w:r>
      <w:r>
        <w:instrText xml:space="preserve"> PAGEREF _Toc26852 \h </w:instrText>
      </w:r>
      <w:r>
        <w:fldChar w:fldCharType="separate"/>
      </w:r>
      <w:r>
        <w:t>6</w:t>
      </w:r>
      <w:r>
        <w:fldChar w:fldCharType="end"/>
      </w:r>
      <w:r>
        <w:rPr>
          <w:rFonts w:hint="eastAsia"/>
          <w:spacing w:val="0"/>
          <w:lang w:eastAsia="zh-CN"/>
        </w:rPr>
        <w:fldChar w:fldCharType="end"/>
      </w:r>
    </w:p>
    <w:p>
      <w:pPr>
        <w:pStyle w:val="19"/>
        <w:tabs>
          <w:tab w:val="right" w:leader="dot" w:pos="9354"/>
        </w:tabs>
      </w:pPr>
      <w:r>
        <w:rPr>
          <w:rFonts w:hint="eastAsia"/>
          <w:spacing w:val="0"/>
          <w:lang w:eastAsia="zh-CN"/>
        </w:rPr>
        <w:fldChar w:fldCharType="begin"/>
      </w:r>
      <w:r>
        <w:rPr>
          <w:rFonts w:hint="eastAsia"/>
          <w:spacing w:val="0"/>
          <w:lang w:eastAsia="zh-CN"/>
        </w:rPr>
        <w:instrText xml:space="preserve"> HYPERLINK \l _Toc20800 </w:instrText>
      </w:r>
      <w:r>
        <w:rPr>
          <w:rFonts w:hint="eastAsia"/>
          <w:spacing w:val="0"/>
          <w:lang w:eastAsia="zh-CN"/>
        </w:rPr>
        <w:fldChar w:fldCharType="separate"/>
      </w:r>
      <w:r>
        <w:rPr>
          <w:rFonts w:hint="eastAsia" w:ascii="黑体" w:eastAsia="黑体"/>
          <w:i w:val="0"/>
          <w:lang w:val="en-US" w:eastAsia="zh-CN"/>
        </w:rPr>
        <w:t xml:space="preserve">7 </w:t>
      </w:r>
      <w:r>
        <w:rPr>
          <w:rFonts w:hint="eastAsia"/>
          <w:lang w:val="en-US" w:eastAsia="zh-CN"/>
        </w:rPr>
        <w:t>协助管理</w:t>
      </w:r>
      <w:r>
        <w:tab/>
      </w:r>
      <w:r>
        <w:fldChar w:fldCharType="begin"/>
      </w:r>
      <w:r>
        <w:instrText xml:space="preserve"> PAGEREF _Toc20800 \h </w:instrText>
      </w:r>
      <w:r>
        <w:fldChar w:fldCharType="separate"/>
      </w:r>
      <w:r>
        <w:t>6</w:t>
      </w:r>
      <w:r>
        <w:fldChar w:fldCharType="end"/>
      </w:r>
      <w:r>
        <w:rPr>
          <w:rFonts w:hint="eastAsia"/>
          <w:spacing w:val="0"/>
          <w:lang w:eastAsia="zh-CN"/>
        </w:rPr>
        <w:fldChar w:fldCharType="end"/>
      </w:r>
    </w:p>
    <w:p>
      <w:pPr>
        <w:pStyle w:val="19"/>
        <w:tabs>
          <w:tab w:val="right" w:leader="dot" w:pos="9354"/>
        </w:tabs>
      </w:pPr>
      <w:r>
        <w:rPr>
          <w:rFonts w:hint="eastAsia"/>
          <w:spacing w:val="0"/>
          <w:lang w:eastAsia="zh-CN"/>
        </w:rPr>
        <w:fldChar w:fldCharType="begin"/>
      </w:r>
      <w:r>
        <w:rPr>
          <w:rFonts w:hint="eastAsia"/>
          <w:spacing w:val="0"/>
          <w:lang w:eastAsia="zh-CN"/>
        </w:rPr>
        <w:instrText xml:space="preserve"> HYPERLINK \l _Toc27492 </w:instrText>
      </w:r>
      <w:r>
        <w:rPr>
          <w:rFonts w:hint="eastAsia"/>
          <w:spacing w:val="0"/>
          <w:lang w:eastAsia="zh-CN"/>
        </w:rPr>
        <w:fldChar w:fldCharType="separate"/>
      </w:r>
      <w:r>
        <w:rPr>
          <w:rFonts w:hint="eastAsia" w:ascii="黑体" w:eastAsia="黑体"/>
          <w:i w:val="0"/>
          <w:lang w:eastAsia="zh-CN"/>
        </w:rPr>
        <w:t xml:space="preserve">8 </w:t>
      </w:r>
      <w:r>
        <w:rPr>
          <w:rFonts w:hint="eastAsia"/>
          <w:lang w:eastAsia="zh-CN"/>
        </w:rPr>
        <w:t>服务管理</w:t>
      </w:r>
      <w:r>
        <w:tab/>
      </w:r>
      <w:r>
        <w:fldChar w:fldCharType="begin"/>
      </w:r>
      <w:r>
        <w:instrText xml:space="preserve"> PAGEREF _Toc27492 \h </w:instrText>
      </w:r>
      <w:r>
        <w:fldChar w:fldCharType="separate"/>
      </w:r>
      <w:r>
        <w:t>7</w:t>
      </w:r>
      <w:r>
        <w:fldChar w:fldCharType="end"/>
      </w:r>
      <w:r>
        <w:rPr>
          <w:rFonts w:hint="eastAsia"/>
          <w:spacing w:val="0"/>
          <w:lang w:eastAsia="zh-CN"/>
        </w:rPr>
        <w:fldChar w:fldCharType="end"/>
      </w:r>
    </w:p>
    <w:p>
      <w:pPr>
        <w:pStyle w:val="19"/>
        <w:tabs>
          <w:tab w:val="right" w:leader="dot" w:pos="9354"/>
        </w:tabs>
      </w:pPr>
      <w:r>
        <w:rPr>
          <w:rFonts w:hint="eastAsia"/>
          <w:spacing w:val="0"/>
          <w:lang w:eastAsia="zh-CN"/>
        </w:rPr>
        <w:fldChar w:fldCharType="begin"/>
      </w:r>
      <w:r>
        <w:rPr>
          <w:rFonts w:hint="eastAsia"/>
          <w:spacing w:val="0"/>
          <w:lang w:eastAsia="zh-CN"/>
        </w:rPr>
        <w:instrText xml:space="preserve"> HYPERLINK \l _Toc32259 </w:instrText>
      </w:r>
      <w:r>
        <w:rPr>
          <w:rFonts w:hint="eastAsia"/>
          <w:spacing w:val="0"/>
          <w:lang w:eastAsia="zh-CN"/>
        </w:rPr>
        <w:fldChar w:fldCharType="separate"/>
      </w:r>
      <w:r>
        <w:rPr>
          <w:rFonts w:hint="eastAsia" w:ascii="黑体" w:eastAsia="黑体"/>
          <w:i w:val="0"/>
          <w:lang w:eastAsia="zh-CN"/>
        </w:rPr>
        <w:t xml:space="preserve">9 </w:t>
      </w:r>
      <w:r>
        <w:rPr>
          <w:rFonts w:hint="eastAsia"/>
          <w:lang w:eastAsia="zh-CN"/>
        </w:rPr>
        <w:t>服务</w:t>
      </w:r>
      <w:r>
        <w:rPr>
          <w:rFonts w:hint="eastAsia"/>
          <w:lang w:val="en-US" w:eastAsia="zh-CN"/>
        </w:rPr>
        <w:t>监督</w:t>
      </w:r>
      <w:r>
        <w:rPr>
          <w:rFonts w:hint="eastAsia"/>
          <w:lang w:eastAsia="zh-CN"/>
        </w:rPr>
        <w:t>与改进</w:t>
      </w:r>
      <w:r>
        <w:tab/>
      </w:r>
      <w:r>
        <w:fldChar w:fldCharType="begin"/>
      </w:r>
      <w:r>
        <w:instrText xml:space="preserve"> PAGEREF _Toc32259 \h </w:instrText>
      </w:r>
      <w:r>
        <w:fldChar w:fldCharType="separate"/>
      </w:r>
      <w:r>
        <w:t>8</w:t>
      </w:r>
      <w:r>
        <w:fldChar w:fldCharType="end"/>
      </w:r>
      <w:r>
        <w:rPr>
          <w:rFonts w:hint="eastAsia"/>
          <w:spacing w:val="0"/>
          <w:lang w:eastAsia="zh-CN"/>
        </w:rPr>
        <w:fldChar w:fldCharType="end"/>
      </w:r>
    </w:p>
    <w:p>
      <w:pPr>
        <w:pStyle w:val="91"/>
        <w:bidi w:val="0"/>
        <w:rPr>
          <w:rFonts w:hint="eastAsia"/>
          <w:spacing w:val="0"/>
          <w:lang w:eastAsia="zh-CN"/>
        </w:rPr>
        <w:sectPr>
          <w:headerReference r:id="rId9" w:type="default"/>
          <w:footerReference r:id="rId11" w:type="default"/>
          <w:headerReference r:id="rId10" w:type="even"/>
          <w:pgSz w:w="11906" w:h="16838"/>
          <w:pgMar w:top="1928" w:right="1134" w:bottom="1134" w:left="1134" w:header="1418" w:footer="1134" w:gutter="284"/>
          <w:pgNumType w:fmt="upperRoman" w:start="1"/>
          <w:cols w:space="425" w:num="1"/>
          <w:formProt w:val="0"/>
          <w:docGrid w:type="lines" w:linePitch="312" w:charSpace="0"/>
        </w:sectPr>
      </w:pPr>
      <w:r>
        <w:rPr>
          <w:rFonts w:hint="eastAsia"/>
          <w:spacing w:val="0"/>
          <w:lang w:eastAsia="zh-CN"/>
        </w:rPr>
        <w:fldChar w:fldCharType="end"/>
      </w:r>
    </w:p>
    <w:bookmarkEnd w:id="21"/>
    <w:p>
      <w:pPr>
        <w:pStyle w:val="89"/>
        <w:bidi w:val="0"/>
        <w:spacing w:before="560"/>
        <w:rPr>
          <w:rFonts w:hint="eastAsia"/>
          <w:lang w:eastAsia="zh-CN"/>
        </w:rPr>
      </w:pPr>
      <w:bookmarkStart w:id="22" w:name="_Toc1703"/>
      <w:bookmarkStart w:id="23" w:name="BookMark2"/>
      <w:r>
        <w:rPr>
          <w:rFonts w:hint="eastAsia"/>
          <w:spacing w:val="320"/>
          <w:lang w:eastAsia="zh-CN"/>
        </w:rPr>
        <w:t>前</w:t>
      </w:r>
      <w:r>
        <w:rPr>
          <w:rFonts w:hint="eastAsia"/>
          <w:lang w:eastAsia="zh-CN"/>
        </w:rPr>
        <w:t>言</w:t>
      </w:r>
      <w:bookmarkEnd w:id="22"/>
    </w:p>
    <w:p>
      <w:pPr>
        <w:pStyle w:val="56"/>
        <w:bidi w:val="0"/>
        <w:rPr>
          <w:rFonts w:hint="eastAsia"/>
          <w:lang w:eastAsia="zh-CN"/>
        </w:rPr>
      </w:pPr>
      <w:r>
        <w:rPr>
          <w:rFonts w:hint="eastAsia"/>
          <w:lang w:eastAsia="zh-CN"/>
        </w:rPr>
        <w:t>本文件按照GB/T 1.1—2020《标准化工作导则  第1部分：标准化文件的结构和起草规则》的规定起草。</w:t>
      </w:r>
    </w:p>
    <w:p>
      <w:pPr>
        <w:pStyle w:val="56"/>
        <w:bidi w:val="0"/>
        <w:rPr>
          <w:rFonts w:hint="default"/>
          <w:lang w:val="en-US" w:eastAsia="zh-CN"/>
        </w:rPr>
      </w:pPr>
      <w:r>
        <w:rPr>
          <w:rFonts w:hint="eastAsia"/>
          <w:lang w:val="en-US" w:eastAsia="zh-CN"/>
        </w:rPr>
        <w:t>请注意本文件的某些内容可能涉及专利。本文件的发布机构不承担识别这些专利的责任。</w:t>
      </w:r>
    </w:p>
    <w:p>
      <w:pPr>
        <w:pStyle w:val="56"/>
        <w:bidi w:val="0"/>
        <w:rPr>
          <w:rFonts w:hint="eastAsia"/>
          <w:lang w:eastAsia="zh-CN"/>
        </w:rPr>
      </w:pPr>
      <w:r>
        <w:rPr>
          <w:rFonts w:hint="eastAsia"/>
          <w:lang w:eastAsia="zh-CN"/>
        </w:rPr>
        <w:t>本文件由</w:t>
      </w:r>
      <w:r>
        <w:rPr>
          <w:rFonts w:hint="eastAsia"/>
          <w:lang w:val="en-US" w:eastAsia="zh-CN"/>
        </w:rPr>
        <w:t>湖南省机关事务管理局</w:t>
      </w:r>
      <w:r>
        <w:rPr>
          <w:rFonts w:hint="eastAsia"/>
          <w:lang w:eastAsia="zh-CN"/>
        </w:rPr>
        <w:t>提出</w:t>
      </w:r>
      <w:r>
        <w:rPr>
          <w:rFonts w:hint="eastAsia"/>
          <w:lang w:val="en-US" w:eastAsia="zh-CN"/>
        </w:rPr>
        <w:t>并归口</w:t>
      </w:r>
      <w:r>
        <w:rPr>
          <w:rFonts w:hint="eastAsia"/>
          <w:lang w:eastAsia="zh-CN"/>
        </w:rPr>
        <w:t>。</w:t>
      </w:r>
    </w:p>
    <w:p>
      <w:pPr>
        <w:pStyle w:val="56"/>
        <w:bidi w:val="0"/>
        <w:rPr>
          <w:rFonts w:hint="default"/>
          <w:lang w:val="en-US" w:eastAsia="zh-CN"/>
        </w:rPr>
      </w:pPr>
      <w:r>
        <w:rPr>
          <w:rFonts w:hint="eastAsia"/>
          <w:lang w:eastAsia="zh-CN"/>
        </w:rPr>
        <w:t>本文件起草单位：湖南省机关事务管理局、 湖南湘勤物业服务有限公司、湖南省市场监管事务中心、</w:t>
      </w:r>
      <w:r>
        <w:rPr>
          <w:rFonts w:hint="eastAsia"/>
          <w:lang w:val="en-US" w:eastAsia="zh-CN"/>
        </w:rPr>
        <w:t>湖南中和创远管理技术咨询有限公司</w:t>
      </w:r>
      <w:bookmarkStart w:id="68" w:name="_GoBack"/>
      <w:bookmarkEnd w:id="68"/>
      <w:r>
        <w:rPr>
          <w:rFonts w:hint="eastAsia"/>
          <w:lang w:val="en-US" w:eastAsia="zh-CN"/>
        </w:rPr>
        <w:t>。</w:t>
      </w:r>
    </w:p>
    <w:p>
      <w:pPr>
        <w:pStyle w:val="56"/>
        <w:bidi w:val="0"/>
        <w:rPr>
          <w:rFonts w:hint="default"/>
          <w:lang w:val="en-US" w:eastAsia="zh-CN"/>
        </w:rPr>
      </w:pPr>
      <w:r>
        <w:rPr>
          <w:rFonts w:hint="eastAsia"/>
          <w:lang w:eastAsia="zh-CN"/>
        </w:rPr>
        <w:t>本文件主要起草人：陈瑞芳、</w:t>
      </w:r>
      <w:r>
        <w:rPr>
          <w:rFonts w:hint="eastAsia"/>
          <w:lang w:val="en-US" w:eastAsia="zh-CN"/>
        </w:rPr>
        <w:t>吴社莲、吴罡、</w:t>
      </w:r>
      <w:r>
        <w:rPr>
          <w:rFonts w:hint="eastAsia"/>
          <w:lang w:eastAsia="zh-CN"/>
        </w:rPr>
        <w:t>周蓉、曾祥安、刘锋、张宏、陈文昌、石城、李凯、</w:t>
      </w:r>
      <w:r>
        <w:rPr>
          <w:rFonts w:hint="eastAsia"/>
          <w:lang w:val="en-US" w:eastAsia="zh-CN"/>
        </w:rPr>
        <w:t>肖天乐。</w:t>
      </w:r>
    </w:p>
    <w:p>
      <w:pPr>
        <w:pStyle w:val="56"/>
        <w:bidi w:val="0"/>
        <w:rPr>
          <w:rFonts w:hint="eastAsia"/>
          <w:lang w:eastAsia="zh-CN"/>
        </w:rPr>
      </w:pPr>
    </w:p>
    <w:p>
      <w:pPr>
        <w:pStyle w:val="56"/>
        <w:bidi w:val="0"/>
        <w:rPr>
          <w:rFonts w:hint="eastAsia"/>
          <w:lang w:eastAsia="zh-CN"/>
        </w:rPr>
        <w:sectPr>
          <w:pgSz w:w="11906" w:h="16838"/>
          <w:pgMar w:top="1928" w:right="1134" w:bottom="1134" w:left="1134" w:header="1418" w:footer="1134" w:gutter="284"/>
          <w:pgNumType w:fmt="upperRoman"/>
          <w:cols w:space="425" w:num="1"/>
          <w:formProt w:val="0"/>
          <w:docGrid w:type="lines" w:linePitch="312" w:charSpace="0"/>
        </w:sectPr>
      </w:pPr>
    </w:p>
    <w:bookmarkEnd w:id="23"/>
    <w:p>
      <w:pPr>
        <w:spacing w:line="20" w:lineRule="exact"/>
        <w:jc w:val="center"/>
        <w:rPr>
          <w:rFonts w:hint="eastAsia" w:ascii="黑体" w:hAnsi="黑体" w:eastAsia="黑体"/>
          <w:sz w:val="32"/>
          <w:szCs w:val="32"/>
        </w:rPr>
      </w:pPr>
      <w:bookmarkStart w:id="24" w:name="BookMark4"/>
    </w:p>
    <w:p>
      <w:pPr>
        <w:spacing w:line="20" w:lineRule="exact"/>
        <w:jc w:val="center"/>
        <w:rPr>
          <w:rFonts w:hint="eastAsia" w:ascii="黑体" w:hAnsi="黑体" w:eastAsia="黑体"/>
          <w:sz w:val="32"/>
          <w:szCs w:val="32"/>
        </w:rPr>
      </w:pPr>
    </w:p>
    <w:sdt>
      <w:sdtPr>
        <w:tag w:val="NEW_STAND_NAME"/>
        <w:id w:val="595910757"/>
        <w:lock w:val="sdtLocked"/>
        <w:placeholder>
          <w:docPart w:val="44A38090058141E5BCF867FEE79180DC"/>
        </w:placeholder>
      </w:sdtPr>
      <w:sdtContent>
        <w:p>
          <w:pPr>
            <w:pStyle w:val="177"/>
            <w:bidi w:val="0"/>
            <w:spacing w:before="313" w:beforeLines="100" w:after="687" w:afterLines="220"/>
            <w:rPr>
              <w:rFonts w:hint="eastAsia"/>
            </w:rPr>
          </w:pPr>
          <w:bookmarkStart w:id="25" w:name="NEW_STAND_NAME"/>
          <w:r>
            <w:rPr>
              <w:rFonts w:hint="eastAsia"/>
              <w:lang w:eastAsia="zh-CN"/>
            </w:rPr>
            <w:t>机关物业服务管理规范</w:t>
          </w:r>
        </w:p>
      </w:sdtContent>
    </w:sdt>
    <w:bookmarkEnd w:id="25"/>
    <w:p>
      <w:pPr>
        <w:pStyle w:val="104"/>
        <w:spacing w:before="312" w:after="312"/>
        <w:rPr>
          <w:color w:val="auto"/>
        </w:rPr>
      </w:pPr>
      <w:bookmarkStart w:id="26" w:name="_Toc26986771"/>
      <w:bookmarkStart w:id="27" w:name="_Toc24884211"/>
      <w:bookmarkStart w:id="28" w:name="_Toc26986530"/>
      <w:bookmarkStart w:id="29" w:name="_Toc97191423"/>
      <w:bookmarkStart w:id="30" w:name="_Toc17233325"/>
      <w:bookmarkStart w:id="31" w:name="_Toc7723"/>
      <w:bookmarkStart w:id="32" w:name="_Toc17233333"/>
      <w:bookmarkStart w:id="33" w:name="_Toc26648465"/>
      <w:bookmarkStart w:id="34" w:name="_Toc26718930"/>
      <w:bookmarkStart w:id="35" w:name="_Toc24884218"/>
      <w:r>
        <w:rPr>
          <w:rFonts w:hint="eastAsia"/>
          <w:color w:val="auto"/>
        </w:rPr>
        <w:t>范围</w:t>
      </w:r>
      <w:bookmarkEnd w:id="26"/>
      <w:bookmarkEnd w:id="27"/>
      <w:bookmarkEnd w:id="28"/>
      <w:bookmarkEnd w:id="29"/>
      <w:bookmarkEnd w:id="30"/>
      <w:bookmarkEnd w:id="31"/>
      <w:bookmarkEnd w:id="32"/>
      <w:bookmarkEnd w:id="33"/>
      <w:bookmarkEnd w:id="34"/>
      <w:bookmarkEnd w:id="35"/>
    </w:p>
    <w:p>
      <w:pPr>
        <w:keepNext w:val="0"/>
        <w:keepLines w:val="0"/>
        <w:widowControl/>
        <w:suppressLineNumbers w:val="0"/>
        <w:ind w:firstLine="420" w:firstLineChars="200"/>
        <w:jc w:val="left"/>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本文件规定了机关物业服务</w:t>
      </w:r>
      <w:r>
        <w:rPr>
          <w:rFonts w:hint="eastAsia" w:ascii="Times New Roman" w:hAnsi="Times New Roman" w:cs="Times New Roman"/>
          <w:color w:val="auto"/>
          <w:kern w:val="0"/>
          <w:sz w:val="21"/>
          <w:szCs w:val="20"/>
          <w:lang w:val="en-US" w:eastAsia="zh-CN" w:bidi="ar-SA"/>
        </w:rPr>
        <w:t>管理的通用</w:t>
      </w:r>
      <w:r>
        <w:rPr>
          <w:rFonts w:hint="eastAsia" w:ascii="Times New Roman" w:hAnsi="Times New Roman" w:eastAsia="宋体" w:cs="Times New Roman"/>
          <w:color w:val="auto"/>
          <w:kern w:val="0"/>
          <w:sz w:val="21"/>
          <w:szCs w:val="20"/>
          <w:lang w:val="en-US" w:eastAsia="zh-CN" w:bidi="ar-SA"/>
        </w:rPr>
        <w:t>要求、</w:t>
      </w:r>
      <w:r>
        <w:rPr>
          <w:rFonts w:hint="eastAsia" w:ascii="Times New Roman" w:hAnsi="Times New Roman" w:cs="Times New Roman"/>
          <w:color w:val="auto"/>
          <w:kern w:val="0"/>
          <w:sz w:val="21"/>
          <w:szCs w:val="20"/>
          <w:lang w:val="en-US" w:eastAsia="zh-CN" w:bidi="ar-SA"/>
        </w:rPr>
        <w:t>服务内容与</w:t>
      </w:r>
      <w:r>
        <w:rPr>
          <w:rFonts w:hint="eastAsia" w:ascii="Times New Roman" w:hAnsi="Times New Roman" w:eastAsia="宋体" w:cs="Times New Roman"/>
          <w:color w:val="auto"/>
          <w:kern w:val="0"/>
          <w:sz w:val="21"/>
          <w:szCs w:val="20"/>
          <w:lang w:val="en-US" w:eastAsia="zh-CN" w:bidi="ar-SA"/>
        </w:rPr>
        <w:t>要求、</w:t>
      </w:r>
      <w:r>
        <w:rPr>
          <w:rFonts w:hint="eastAsia" w:ascii="Times New Roman" w:hAnsi="Times New Roman" w:cs="Times New Roman"/>
          <w:color w:val="auto"/>
          <w:kern w:val="0"/>
          <w:sz w:val="21"/>
          <w:szCs w:val="20"/>
          <w:lang w:val="en-US" w:eastAsia="zh-CN" w:bidi="ar-SA"/>
        </w:rPr>
        <w:t>协助管理、服务</w:t>
      </w:r>
      <w:r>
        <w:rPr>
          <w:rFonts w:hint="eastAsia" w:ascii="Times New Roman" w:hAnsi="Times New Roman" w:eastAsia="宋体" w:cs="Times New Roman"/>
          <w:color w:val="auto"/>
          <w:kern w:val="0"/>
          <w:sz w:val="21"/>
          <w:szCs w:val="20"/>
          <w:lang w:val="en-US" w:eastAsia="zh-CN" w:bidi="ar-SA"/>
        </w:rPr>
        <w:t>管理</w:t>
      </w:r>
      <w:r>
        <w:rPr>
          <w:rFonts w:hint="eastAsia" w:ascii="Times New Roman" w:hAnsi="Times New Roman" w:cs="Times New Roman"/>
          <w:color w:val="auto"/>
          <w:kern w:val="0"/>
          <w:sz w:val="21"/>
          <w:szCs w:val="20"/>
          <w:lang w:val="en-US" w:eastAsia="zh-CN" w:bidi="ar-SA"/>
        </w:rPr>
        <w:t>、服务评价与改进</w:t>
      </w:r>
      <w:r>
        <w:rPr>
          <w:rFonts w:hint="eastAsia" w:ascii="Times New Roman" w:hAnsi="Times New Roman" w:eastAsia="宋体" w:cs="Times New Roman"/>
          <w:color w:val="auto"/>
          <w:kern w:val="0"/>
          <w:sz w:val="21"/>
          <w:szCs w:val="20"/>
          <w:lang w:val="en-US" w:eastAsia="zh-CN" w:bidi="ar-SA"/>
        </w:rPr>
        <w:t>。</w:t>
      </w:r>
    </w:p>
    <w:p>
      <w:pPr>
        <w:pStyle w:val="56"/>
        <w:rPr>
          <w:rFonts w:hint="eastAsia"/>
          <w:color w:val="auto"/>
          <w:lang w:val="en-US" w:eastAsia="zh-CN"/>
        </w:rPr>
      </w:pPr>
      <w:r>
        <w:rPr>
          <w:rFonts w:hint="eastAsia"/>
          <w:color w:val="auto"/>
          <w:lang w:val="en-US" w:eastAsia="zh-CN"/>
        </w:rPr>
        <w:t>本文件适用于各级机关物业服务管理。</w:t>
      </w:r>
      <w:bookmarkStart w:id="36" w:name="_Toc17233334"/>
      <w:bookmarkStart w:id="37" w:name="_Toc26718931"/>
      <w:bookmarkStart w:id="38" w:name="_Toc24884219"/>
      <w:bookmarkStart w:id="39" w:name="_Toc97191424"/>
      <w:bookmarkStart w:id="40" w:name="_Toc26648466"/>
      <w:bookmarkStart w:id="41" w:name="_Toc24884212"/>
      <w:bookmarkStart w:id="42" w:name="_Toc17233326"/>
      <w:bookmarkStart w:id="43" w:name="_Toc26986772"/>
      <w:bookmarkStart w:id="44" w:name="_Toc26986531"/>
    </w:p>
    <w:p>
      <w:pPr>
        <w:pStyle w:val="104"/>
        <w:bidi w:val="0"/>
        <w:rPr>
          <w:color w:val="auto"/>
        </w:rPr>
      </w:pPr>
      <w:bookmarkStart w:id="45" w:name="_Toc7017"/>
      <w:r>
        <w:rPr>
          <w:rFonts w:hint="eastAsia"/>
          <w:color w:val="auto"/>
        </w:rPr>
        <w:t>规范性引用文件</w:t>
      </w:r>
      <w:bookmarkEnd w:id="36"/>
      <w:bookmarkEnd w:id="37"/>
      <w:bookmarkEnd w:id="38"/>
      <w:bookmarkEnd w:id="39"/>
      <w:bookmarkEnd w:id="40"/>
      <w:bookmarkEnd w:id="41"/>
      <w:bookmarkEnd w:id="42"/>
      <w:bookmarkEnd w:id="43"/>
      <w:bookmarkEnd w:id="44"/>
      <w:bookmarkEnd w:id="45"/>
    </w:p>
    <w:sdt>
      <w:sdtPr>
        <w:rPr>
          <w:rFonts w:hint="eastAsia"/>
          <w:color w:val="auto"/>
        </w:rPr>
        <w:id w:val="715848253"/>
        <w:placeholder>
          <w:docPart w:val="83ACEA082902419DAEC754314F0D2502"/>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color w:val="auto"/>
        </w:rPr>
      </w:sdtEndPr>
      <w:sdtContent>
        <w:p>
          <w:pPr>
            <w:pStyle w:val="56"/>
            <w:ind w:firstLine="420"/>
            <w:rPr>
              <w:rFonts w:hint="eastAsia" w:ascii="宋体" w:eastAsia="宋体"/>
              <w:color w:val="auto"/>
              <w:lang w:eastAsia="zh-CN"/>
            </w:rPr>
          </w:pPr>
          <w:r>
            <w:rPr>
              <w:rFonts w:hint="eastAsia"/>
              <w:color w:val="auto"/>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pPr>
        <w:keepNext w:val="0"/>
        <w:keepLines w:val="0"/>
        <w:widowControl/>
        <w:suppressLineNumbers w:val="0"/>
        <w:ind w:firstLine="420" w:firstLineChars="200"/>
        <w:jc w:val="left"/>
        <w:rPr>
          <w:rFonts w:hint="default" w:ascii="Times New Roman" w:hAnsi="Times New Roman" w:eastAsia="宋体" w:cs="Times New Roman"/>
          <w:color w:val="auto"/>
          <w:kern w:val="0"/>
          <w:sz w:val="21"/>
          <w:szCs w:val="20"/>
          <w:lang w:val="en-US" w:eastAsia="zh-CN" w:bidi="ar-SA"/>
        </w:rPr>
      </w:pPr>
      <w:bookmarkStart w:id="46" w:name="_Toc97191425"/>
      <w:r>
        <w:rPr>
          <w:rFonts w:hint="default" w:ascii="Times New Roman" w:hAnsi="Times New Roman" w:eastAsia="宋体" w:cs="Times New Roman"/>
          <w:color w:val="auto"/>
          <w:kern w:val="0"/>
          <w:sz w:val="21"/>
          <w:szCs w:val="20"/>
          <w:lang w:val="en-US" w:eastAsia="zh-CN" w:bidi="ar-SA"/>
        </w:rPr>
        <w:t>GB 2894</w:t>
      </w:r>
      <w:r>
        <w:rPr>
          <w:rFonts w:hint="eastAsia" w:ascii="Times New Roman" w:hAnsi="Times New Roman" w:eastAsia="宋体" w:cs="Times New Roman"/>
          <w:color w:val="auto"/>
          <w:kern w:val="0"/>
          <w:sz w:val="21"/>
          <w:szCs w:val="20"/>
          <w:lang w:val="en-US" w:eastAsia="zh-CN" w:bidi="ar-SA"/>
        </w:rPr>
        <w:t xml:space="preserve"> 安全色和安全标志</w:t>
      </w:r>
    </w:p>
    <w:p>
      <w:pPr>
        <w:keepNext w:val="0"/>
        <w:keepLines w:val="0"/>
        <w:widowControl/>
        <w:suppressLineNumbers w:val="0"/>
        <w:ind w:firstLine="420" w:firstLineChars="200"/>
        <w:jc w:val="left"/>
        <w:rPr>
          <w:rFonts w:hint="eastAsia"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GB/T 10001</w:t>
      </w:r>
      <w:r>
        <w:rPr>
          <w:rFonts w:hint="eastAsia" w:ascii="Times New Roman" w:hAnsi="Times New Roman" w:cs="Times New Roman"/>
          <w:color w:val="auto"/>
          <w:kern w:val="0"/>
          <w:sz w:val="21"/>
          <w:szCs w:val="20"/>
          <w:lang w:val="en-US" w:eastAsia="zh-CN" w:bidi="ar-SA"/>
        </w:rPr>
        <w:t>.1</w:t>
      </w:r>
      <w:r>
        <w:rPr>
          <w:rFonts w:hint="eastAsia" w:ascii="Times New Roman" w:hAnsi="Times New Roman" w:eastAsia="宋体" w:cs="Times New Roman"/>
          <w:color w:val="auto"/>
          <w:kern w:val="0"/>
          <w:sz w:val="21"/>
          <w:szCs w:val="20"/>
          <w:lang w:val="en-US" w:eastAsia="zh-CN" w:bidi="ar-SA"/>
        </w:rPr>
        <w:t xml:space="preserve"> </w:t>
      </w:r>
      <w:r>
        <w:rPr>
          <w:rFonts w:hint="default" w:ascii="Times New Roman" w:hAnsi="Times New Roman" w:eastAsia="宋体" w:cs="Times New Roman"/>
          <w:color w:val="auto"/>
          <w:kern w:val="0"/>
          <w:sz w:val="21"/>
          <w:szCs w:val="20"/>
          <w:lang w:val="en-US" w:eastAsia="zh-CN" w:bidi="ar-SA"/>
        </w:rPr>
        <w:t>公共信息图形符号 第1部分：通用符号</w:t>
      </w:r>
    </w:p>
    <w:p>
      <w:pPr>
        <w:keepNext w:val="0"/>
        <w:keepLines w:val="0"/>
        <w:widowControl/>
        <w:suppressLineNumbers w:val="0"/>
        <w:ind w:firstLine="420" w:firstLineChars="200"/>
        <w:jc w:val="left"/>
        <w:rPr>
          <w:rFonts w:hint="eastAsia" w:ascii="Times New Roman" w:hAnsi="Times New Roman"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GB 13495.1</w:t>
      </w:r>
      <w:r>
        <w:rPr>
          <w:rFonts w:hint="eastAsia" w:ascii="Times New Roman" w:hAnsi="Times New Roman" w:cs="Times New Roman"/>
          <w:color w:val="auto"/>
          <w:kern w:val="0"/>
          <w:sz w:val="21"/>
          <w:szCs w:val="20"/>
          <w:lang w:val="en-US" w:eastAsia="zh-CN" w:bidi="ar-SA"/>
        </w:rPr>
        <w:t xml:space="preserve"> 消防安全标志 第1部分：标志</w:t>
      </w:r>
    </w:p>
    <w:p>
      <w:pPr>
        <w:keepNext w:val="0"/>
        <w:keepLines w:val="0"/>
        <w:widowControl/>
        <w:suppressLineNumbers w:val="0"/>
        <w:ind w:firstLine="420" w:firstLineChars="200"/>
        <w:jc w:val="left"/>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GB/T 43542 机关办公区域物业服务监管和评价规范</w:t>
      </w:r>
    </w:p>
    <w:p>
      <w:pPr>
        <w:keepNext w:val="0"/>
        <w:keepLines w:val="0"/>
        <w:widowControl/>
        <w:suppressLineNumbers w:val="0"/>
        <w:ind w:firstLine="420" w:firstLineChars="200"/>
        <w:jc w:val="left"/>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DB43/T 2885 党政机关会议服务规范</w:t>
      </w:r>
    </w:p>
    <w:p>
      <w:pPr>
        <w:pStyle w:val="104"/>
        <w:bidi w:val="0"/>
        <w:rPr>
          <w:color w:val="auto"/>
        </w:rPr>
      </w:pPr>
      <w:bookmarkStart w:id="47" w:name="_Toc3453"/>
      <w:r>
        <w:rPr>
          <w:rFonts w:hint="eastAsia"/>
          <w:color w:val="auto"/>
        </w:rPr>
        <w:t>术语和定义</w:t>
      </w:r>
      <w:bookmarkEnd w:id="46"/>
      <w:bookmarkEnd w:id="47"/>
    </w:p>
    <w:sdt>
      <w:sdtPr>
        <w:rPr>
          <w:color w:val="auto"/>
        </w:rPr>
        <w:id w:val="-1909835108"/>
        <w:placeholder>
          <w:docPart w:val="1300A4C75D794D6291D16A5282D6F457"/>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color w:val="auto"/>
        </w:rPr>
      </w:sdtEndPr>
      <w:sdtContent>
        <w:p>
          <w:pPr>
            <w:pStyle w:val="56"/>
            <w:ind w:firstLine="420"/>
            <w:rPr>
              <w:color w:val="auto"/>
            </w:rPr>
          </w:pPr>
          <w:bookmarkStart w:id="48" w:name="_Toc26986532"/>
          <w:bookmarkEnd w:id="48"/>
          <w:r>
            <w:rPr>
              <w:rFonts w:ascii="Times New Roman" w:hAnsi="Times New Roman" w:eastAsia="宋体" w:cs="Times New Roman"/>
              <w:color w:val="auto"/>
              <w:sz w:val="21"/>
              <w:lang w:val="en-US" w:eastAsia="zh-CN" w:bidi="ar-SA"/>
            </w:rPr>
            <w:t>本文件没有需要界定的术语和定义。</w:t>
          </w:r>
        </w:p>
      </w:sdtContent>
    </w:sdt>
    <w:p>
      <w:pPr>
        <w:pStyle w:val="104"/>
        <w:bidi w:val="0"/>
        <w:rPr>
          <w:rFonts w:hint="eastAsia"/>
          <w:color w:val="auto"/>
          <w:lang w:eastAsia="zh-CN"/>
        </w:rPr>
      </w:pPr>
      <w:bookmarkStart w:id="49" w:name="_Toc6730"/>
      <w:r>
        <w:rPr>
          <w:rFonts w:hint="eastAsia"/>
          <w:color w:val="auto"/>
          <w:lang w:eastAsia="zh-CN"/>
        </w:rPr>
        <w:t>通用要求</w:t>
      </w:r>
      <w:bookmarkEnd w:id="49"/>
    </w:p>
    <w:p>
      <w:pPr>
        <w:pStyle w:val="105"/>
        <w:bidi w:val="0"/>
        <w:rPr>
          <w:rFonts w:hint="eastAsia"/>
          <w:color w:val="auto"/>
          <w:lang w:eastAsia="zh-CN"/>
        </w:rPr>
      </w:pPr>
      <w:bookmarkStart w:id="50" w:name="_Toc10617"/>
      <w:r>
        <w:rPr>
          <w:rFonts w:hint="eastAsia"/>
          <w:color w:val="auto"/>
          <w:lang w:eastAsia="zh-CN"/>
        </w:rPr>
        <w:t>机构要求</w:t>
      </w:r>
      <w:bookmarkEnd w:id="50"/>
    </w:p>
    <w:p>
      <w:pPr>
        <w:pStyle w:val="165"/>
        <w:bidi w:val="0"/>
        <w:rPr>
          <w:rFonts w:hint="eastAsia"/>
          <w:color w:val="auto"/>
          <w:lang w:val="en-US" w:eastAsia="zh-CN"/>
        </w:rPr>
      </w:pPr>
      <w:r>
        <w:rPr>
          <w:rFonts w:hint="eastAsia"/>
          <w:color w:val="auto"/>
          <w:lang w:val="en-US" w:eastAsia="zh-CN"/>
        </w:rPr>
        <w:t>应具有独立法人资格和相应的资质。</w:t>
      </w:r>
    </w:p>
    <w:p>
      <w:pPr>
        <w:pStyle w:val="165"/>
        <w:bidi w:val="0"/>
        <w:rPr>
          <w:rFonts w:hint="eastAsia"/>
          <w:color w:val="auto"/>
          <w:lang w:val="en-US" w:eastAsia="zh-CN"/>
        </w:rPr>
      </w:pPr>
      <w:r>
        <w:rPr>
          <w:rFonts w:hint="eastAsia"/>
          <w:color w:val="auto"/>
          <w:lang w:val="en-US" w:eastAsia="zh-CN"/>
        </w:rPr>
        <w:t>应具有相对集中、规模合理的物业服务管理场所。</w:t>
      </w:r>
    </w:p>
    <w:p>
      <w:pPr>
        <w:pStyle w:val="165"/>
        <w:bidi w:val="0"/>
        <w:rPr>
          <w:rFonts w:hint="default"/>
          <w:color w:val="auto"/>
          <w:lang w:val="en-US" w:eastAsia="zh-CN"/>
        </w:rPr>
      </w:pPr>
      <w:r>
        <w:rPr>
          <w:rFonts w:hint="eastAsia"/>
          <w:color w:val="auto"/>
          <w:lang w:val="en-US" w:eastAsia="zh-CN"/>
        </w:rPr>
        <w:t>应</w:t>
      </w:r>
      <w:r>
        <w:rPr>
          <w:color w:val="auto"/>
          <w:lang w:val="en-US" w:eastAsia="zh-CN"/>
        </w:rPr>
        <w:t>配备相应数量的物业管理服务人</w:t>
      </w:r>
      <w:r>
        <w:rPr>
          <w:rFonts w:hint="default"/>
          <w:color w:val="auto"/>
          <w:lang w:val="en-US" w:eastAsia="zh-CN"/>
        </w:rPr>
        <w:t>员、服务</w:t>
      </w:r>
      <w:r>
        <w:rPr>
          <w:rFonts w:hint="eastAsia"/>
          <w:color w:val="auto"/>
          <w:lang w:val="en-US" w:eastAsia="zh-CN"/>
        </w:rPr>
        <w:t>设施</w:t>
      </w:r>
      <w:r>
        <w:rPr>
          <w:rFonts w:hint="default"/>
          <w:color w:val="auto"/>
          <w:lang w:val="en-US" w:eastAsia="zh-CN"/>
        </w:rPr>
        <w:t>设备和用品。</w:t>
      </w:r>
    </w:p>
    <w:p>
      <w:pPr>
        <w:pStyle w:val="105"/>
        <w:bidi w:val="0"/>
        <w:rPr>
          <w:rFonts w:hint="eastAsia"/>
          <w:color w:val="auto"/>
          <w:lang w:eastAsia="zh-CN"/>
        </w:rPr>
      </w:pPr>
      <w:bookmarkStart w:id="51" w:name="_Toc32531"/>
      <w:r>
        <w:rPr>
          <w:rFonts w:hint="eastAsia"/>
          <w:color w:val="auto"/>
          <w:lang w:eastAsia="zh-CN"/>
        </w:rPr>
        <w:t>人员要求</w:t>
      </w:r>
      <w:bookmarkEnd w:id="51"/>
    </w:p>
    <w:p>
      <w:pPr>
        <w:pStyle w:val="165"/>
        <w:bidi w:val="0"/>
        <w:rPr>
          <w:rFonts w:hint="default"/>
          <w:color w:val="auto"/>
          <w:lang w:val="en-US"/>
        </w:rPr>
      </w:pPr>
      <w:r>
        <w:rPr>
          <w:rFonts w:hint="eastAsia"/>
          <w:color w:val="auto"/>
          <w:lang w:val="en-US" w:eastAsia="zh-CN"/>
        </w:rPr>
        <w:t>应根据物业使用单位需求确定物业服务人员的类别、数量、资质和能力要求。有特殊安全保密等方面要求的岗位，应明确指定服务人员的资质、资历和保密要求。</w:t>
      </w:r>
    </w:p>
    <w:p>
      <w:pPr>
        <w:pStyle w:val="165"/>
        <w:bidi w:val="0"/>
        <w:rPr>
          <w:rFonts w:hint="eastAsia"/>
          <w:color w:val="auto"/>
          <w:lang w:val="en-US" w:eastAsia="zh-CN"/>
        </w:rPr>
      </w:pPr>
      <w:r>
        <w:rPr>
          <w:rFonts w:hint="eastAsia"/>
          <w:color w:val="auto"/>
          <w:lang w:val="en-US" w:eastAsia="zh-CN"/>
        </w:rPr>
        <w:t>现场管理人员应具备相应的物业管理知识，专业技术人员应取得相应专业技术证书或职业技能资格证书，从事特种设备作业的人员应取得特种作业资格。</w:t>
      </w:r>
    </w:p>
    <w:p>
      <w:pPr>
        <w:pStyle w:val="165"/>
        <w:bidi w:val="0"/>
        <w:rPr>
          <w:color w:val="auto"/>
        </w:rPr>
      </w:pPr>
      <w:r>
        <w:rPr>
          <w:color w:val="auto"/>
          <w:lang w:val="en-US" w:eastAsia="zh-CN"/>
        </w:rPr>
        <w:t>服务人员应符合</w:t>
      </w:r>
      <w:r>
        <w:rPr>
          <w:rFonts w:hint="eastAsia"/>
          <w:color w:val="auto"/>
          <w:lang w:val="en-US" w:eastAsia="zh-CN"/>
        </w:rPr>
        <w:t>以下</w:t>
      </w:r>
      <w:r>
        <w:rPr>
          <w:color w:val="auto"/>
          <w:lang w:val="en-US" w:eastAsia="zh-CN"/>
        </w:rPr>
        <w:t xml:space="preserve">要求： </w:t>
      </w:r>
    </w:p>
    <w:p>
      <w:pPr>
        <w:pStyle w:val="132"/>
        <w:bidi w:val="0"/>
        <w:rPr>
          <w:color w:val="auto"/>
        </w:rPr>
      </w:pPr>
      <w:r>
        <w:rPr>
          <w:rFonts w:hint="default"/>
          <w:color w:val="auto"/>
          <w:lang w:val="en-US" w:eastAsia="zh-CN"/>
        </w:rPr>
        <w:t xml:space="preserve">遵守国家法律法规及物业监管单位和服务对象的各项规章制度； </w:t>
      </w:r>
    </w:p>
    <w:p>
      <w:pPr>
        <w:pStyle w:val="132"/>
        <w:bidi w:val="0"/>
        <w:rPr>
          <w:color w:val="auto"/>
        </w:rPr>
      </w:pPr>
      <w:r>
        <w:rPr>
          <w:rFonts w:hint="default"/>
          <w:color w:val="auto"/>
          <w:lang w:val="en-US" w:eastAsia="zh-CN"/>
        </w:rPr>
        <w:t xml:space="preserve">身体健康，具备正常履行岗位职责的身体条件； </w:t>
      </w:r>
    </w:p>
    <w:p>
      <w:pPr>
        <w:pStyle w:val="132"/>
        <w:bidi w:val="0"/>
        <w:rPr>
          <w:color w:val="auto"/>
        </w:rPr>
      </w:pPr>
      <w:r>
        <w:rPr>
          <w:rFonts w:hint="default"/>
          <w:color w:val="auto"/>
          <w:lang w:val="en-US" w:eastAsia="zh-CN"/>
        </w:rPr>
        <w:t xml:space="preserve">具备良好的职业道德，遵守岗位纪律； </w:t>
      </w:r>
    </w:p>
    <w:p>
      <w:pPr>
        <w:pStyle w:val="132"/>
        <w:bidi w:val="0"/>
        <w:rPr>
          <w:color w:val="auto"/>
        </w:rPr>
      </w:pPr>
      <w:r>
        <w:rPr>
          <w:rFonts w:hint="default"/>
          <w:color w:val="auto"/>
          <w:lang w:val="en-US" w:eastAsia="zh-CN"/>
        </w:rPr>
        <w:t xml:space="preserve">熟悉服务区域的基本情况，能正确使用与岗位适配的专用设备； </w:t>
      </w:r>
    </w:p>
    <w:p>
      <w:pPr>
        <w:pStyle w:val="132"/>
        <w:bidi w:val="0"/>
        <w:rPr>
          <w:color w:val="auto"/>
        </w:rPr>
      </w:pPr>
      <w:r>
        <w:rPr>
          <w:rFonts w:hint="default"/>
          <w:color w:val="auto"/>
          <w:lang w:val="en-US" w:eastAsia="zh-CN"/>
        </w:rPr>
        <w:t>注重物业服务对象信息安全，不打听、不传播、不透露物业服务对象的相关信息。</w:t>
      </w:r>
    </w:p>
    <w:p>
      <w:pPr>
        <w:pStyle w:val="165"/>
        <w:bidi w:val="0"/>
        <w:rPr>
          <w:color w:val="auto"/>
        </w:rPr>
      </w:pPr>
      <w:r>
        <w:rPr>
          <w:rFonts w:hint="eastAsia"/>
          <w:color w:val="auto"/>
          <w:lang w:val="en-US" w:eastAsia="zh-CN"/>
        </w:rPr>
        <w:t>服务过程中，现场管理和服务人员应统一着装，佩戴明显标志，仪容仪表整洁，应遵循服务礼仪，保持良好的精神状态，举止大方有礼，用语文明规范，主动、热情、耐心、周到、及时提供服务。</w:t>
      </w:r>
    </w:p>
    <w:p>
      <w:pPr>
        <w:pStyle w:val="104"/>
        <w:bidi w:val="0"/>
        <w:rPr>
          <w:rFonts w:hint="eastAsia"/>
          <w:color w:val="auto"/>
          <w:lang w:eastAsia="zh-CN"/>
        </w:rPr>
      </w:pPr>
      <w:bookmarkStart w:id="52" w:name="_Toc18688"/>
      <w:r>
        <w:rPr>
          <w:rFonts w:hint="eastAsia"/>
          <w:color w:val="auto"/>
          <w:lang w:val="en-US" w:eastAsia="zh-CN"/>
        </w:rPr>
        <w:t>物业承接管理</w:t>
      </w:r>
      <w:bookmarkEnd w:id="52"/>
    </w:p>
    <w:p>
      <w:pPr>
        <w:pStyle w:val="105"/>
        <w:bidi w:val="0"/>
        <w:rPr>
          <w:rFonts w:hint="eastAsia"/>
          <w:color w:val="auto"/>
          <w:lang w:eastAsia="zh-CN"/>
        </w:rPr>
      </w:pPr>
      <w:bookmarkStart w:id="53" w:name="_Toc20092"/>
      <w:r>
        <w:rPr>
          <w:rFonts w:hint="eastAsia"/>
          <w:color w:val="auto"/>
          <w:lang w:val="en-US" w:eastAsia="zh-CN"/>
        </w:rPr>
        <w:t>承接查验</w:t>
      </w:r>
      <w:bookmarkEnd w:id="53"/>
    </w:p>
    <w:p>
      <w:pPr>
        <w:pStyle w:val="162"/>
        <w:numPr>
          <w:ilvl w:val="2"/>
          <w:numId w:val="0"/>
        </w:numPr>
        <w:bidi w:val="0"/>
        <w:ind w:leftChars="0" w:firstLine="420" w:firstLineChars="200"/>
        <w:rPr>
          <w:rFonts w:hint="eastAsia"/>
          <w:color w:val="auto"/>
          <w:lang w:eastAsia="zh-CN"/>
        </w:rPr>
      </w:pPr>
      <w:r>
        <w:rPr>
          <w:rFonts w:hint="eastAsia"/>
          <w:color w:val="auto"/>
          <w:lang w:val="en-US" w:eastAsia="zh-CN"/>
        </w:rPr>
        <w:t>物业</w:t>
      </w:r>
      <w:r>
        <w:rPr>
          <w:rFonts w:hint="eastAsia"/>
          <w:color w:val="auto"/>
          <w:lang w:eastAsia="zh-CN"/>
        </w:rPr>
        <w:t>承接查验前应</w:t>
      </w:r>
      <w:r>
        <w:rPr>
          <w:rFonts w:hint="eastAsia"/>
          <w:color w:val="auto"/>
          <w:lang w:val="en-US" w:eastAsia="zh-CN"/>
        </w:rPr>
        <w:t>符合以下要求</w:t>
      </w:r>
      <w:r>
        <w:rPr>
          <w:rFonts w:hint="eastAsia"/>
          <w:color w:val="auto"/>
          <w:lang w:eastAsia="zh-CN"/>
        </w:rPr>
        <w:t>：</w:t>
      </w:r>
    </w:p>
    <w:p>
      <w:pPr>
        <w:pStyle w:val="132"/>
        <w:bidi w:val="0"/>
        <w:rPr>
          <w:rFonts w:hint="eastAsia"/>
          <w:color w:val="auto"/>
          <w:lang w:eastAsia="zh-CN"/>
        </w:rPr>
      </w:pPr>
      <w:r>
        <w:rPr>
          <w:rFonts w:hint="eastAsia"/>
          <w:color w:val="auto"/>
          <w:lang w:eastAsia="zh-CN"/>
        </w:rPr>
        <w:t>资料接收。接收物业使用单位移交的物业建设、改造资料，包括但不限于：竣工总平面图，单体建筑、结构、设备竣工图，配套设施、地下管网工程竣工图，设施设备安装、使用和维护保养等技术资料，物业质量保修文件和物业使用说明文件等。</w:t>
      </w:r>
    </w:p>
    <w:p>
      <w:pPr>
        <w:pStyle w:val="132"/>
        <w:bidi w:val="0"/>
        <w:rPr>
          <w:rFonts w:hint="eastAsia"/>
          <w:color w:val="auto"/>
          <w:lang w:eastAsia="zh-CN"/>
        </w:rPr>
      </w:pPr>
      <w:r>
        <w:rPr>
          <w:rFonts w:hint="eastAsia"/>
          <w:color w:val="auto"/>
          <w:lang w:eastAsia="zh-CN"/>
        </w:rPr>
        <w:t>人员准备。组建承接查验工作小组，明确负责人和专业技术人员分工。查验人员应具备相应的专业知识和查验能力，涉及特种设备的应配备持证人员。</w:t>
      </w:r>
    </w:p>
    <w:p>
      <w:pPr>
        <w:pStyle w:val="132"/>
        <w:bidi w:val="0"/>
        <w:rPr>
          <w:rFonts w:hint="eastAsia"/>
          <w:color w:val="auto"/>
          <w:lang w:eastAsia="zh-CN"/>
        </w:rPr>
      </w:pPr>
      <w:r>
        <w:rPr>
          <w:rFonts w:hint="eastAsia"/>
          <w:color w:val="auto"/>
          <w:lang w:eastAsia="zh-CN"/>
        </w:rPr>
        <w:t>方案制定。制定承接查验工作方案，明确查验范围、内容、标准、方法和时间安排。新建物业查验方案应与物业使用单位、建设单位协商确定；既有物业转接查验方案应与移交方、物业使用单位协商确定。</w:t>
      </w:r>
    </w:p>
    <w:p>
      <w:pPr>
        <w:pStyle w:val="132"/>
        <w:bidi w:val="0"/>
        <w:rPr>
          <w:rFonts w:hint="eastAsia"/>
          <w:color w:val="auto"/>
          <w:lang w:eastAsia="zh-CN"/>
        </w:rPr>
      </w:pPr>
      <w:r>
        <w:rPr>
          <w:rFonts w:hint="eastAsia"/>
          <w:color w:val="auto"/>
          <w:lang w:eastAsia="zh-CN"/>
        </w:rPr>
        <w:t>既有物业转接时，应接收前期物业服务档案、设施设备运行维护记录、房屋及公共设施维修记录等。</w:t>
      </w:r>
    </w:p>
    <w:p>
      <w:pPr>
        <w:pStyle w:val="105"/>
        <w:bidi w:val="0"/>
        <w:rPr>
          <w:rFonts w:hint="eastAsia"/>
          <w:color w:val="auto"/>
          <w:lang w:val="en-US" w:eastAsia="zh-CN"/>
        </w:rPr>
      </w:pPr>
      <w:bookmarkStart w:id="54" w:name="_Toc2548"/>
      <w:r>
        <w:rPr>
          <w:rFonts w:hint="eastAsia"/>
          <w:color w:val="auto"/>
          <w:lang w:val="en-US" w:eastAsia="zh-CN"/>
        </w:rPr>
        <w:t>现场查验</w:t>
      </w:r>
      <w:bookmarkEnd w:id="54"/>
    </w:p>
    <w:p>
      <w:pPr>
        <w:pStyle w:val="165"/>
        <w:bidi w:val="0"/>
        <w:rPr>
          <w:rFonts w:hint="default"/>
          <w:color w:val="auto"/>
          <w:lang w:val="en-US" w:eastAsia="zh-CN"/>
        </w:rPr>
      </w:pPr>
      <w:r>
        <w:rPr>
          <w:rFonts w:hint="eastAsia"/>
          <w:color w:val="auto"/>
          <w:lang w:val="en-US" w:eastAsia="zh-CN"/>
        </w:rPr>
        <w:t>应明确查验范围，包括但不限于：</w:t>
      </w:r>
    </w:p>
    <w:p>
      <w:pPr>
        <w:pStyle w:val="132"/>
        <w:bidi w:val="0"/>
        <w:rPr>
          <w:rFonts w:hint="eastAsia"/>
          <w:color w:val="auto"/>
          <w:lang w:val="en-US" w:eastAsia="zh-CN"/>
        </w:rPr>
      </w:pPr>
      <w:r>
        <w:rPr>
          <w:rFonts w:hint="eastAsia"/>
          <w:color w:val="auto"/>
          <w:lang w:val="en-US" w:eastAsia="zh-CN"/>
        </w:rPr>
        <w:t>物业共用部位。包括建筑物的基础、承重墙体、柱、梁、楼板、屋顶以及外墙、门厅、楼梯间、走廊、通道等。</w:t>
      </w:r>
    </w:p>
    <w:p>
      <w:pPr>
        <w:pStyle w:val="132"/>
        <w:bidi w:val="0"/>
        <w:rPr>
          <w:rFonts w:hint="eastAsia"/>
          <w:color w:val="auto"/>
          <w:lang w:val="en-US" w:eastAsia="zh-CN"/>
        </w:rPr>
      </w:pPr>
      <w:r>
        <w:rPr>
          <w:rFonts w:hint="eastAsia"/>
          <w:color w:val="auto"/>
          <w:lang w:val="en-US" w:eastAsia="zh-CN"/>
        </w:rPr>
        <w:t>物业共用设施设备。包括电梯、锅炉、消防、避雷、监控、给排水、电气、照明、通风、空调、智能化系统、停车场地设施设备、绿地及景观设施等。</w:t>
      </w:r>
    </w:p>
    <w:p>
      <w:pPr>
        <w:pStyle w:val="132"/>
        <w:bidi w:val="0"/>
        <w:rPr>
          <w:rFonts w:hint="eastAsia"/>
          <w:color w:val="auto"/>
          <w:lang w:val="en-US" w:eastAsia="zh-CN"/>
        </w:rPr>
      </w:pPr>
      <w:r>
        <w:rPr>
          <w:rFonts w:hint="eastAsia"/>
          <w:color w:val="auto"/>
          <w:lang w:val="en-US" w:eastAsia="zh-CN"/>
        </w:rPr>
        <w:t>物业服务用房及配套场所。</w:t>
      </w:r>
    </w:p>
    <w:p>
      <w:pPr>
        <w:pStyle w:val="132"/>
        <w:bidi w:val="0"/>
        <w:rPr>
          <w:rFonts w:hint="eastAsia"/>
          <w:color w:val="auto"/>
          <w:lang w:val="en-US" w:eastAsia="zh-CN"/>
        </w:rPr>
      </w:pPr>
      <w:r>
        <w:rPr>
          <w:rFonts w:hint="eastAsia"/>
          <w:color w:val="auto"/>
          <w:lang w:val="en-US" w:eastAsia="zh-CN"/>
        </w:rPr>
        <w:t>相关资料和档案。</w:t>
      </w:r>
    </w:p>
    <w:p>
      <w:pPr>
        <w:pStyle w:val="165"/>
        <w:bidi w:val="0"/>
        <w:rPr>
          <w:rFonts w:hint="default"/>
          <w:color w:val="auto"/>
          <w:lang w:val="en-US" w:eastAsia="zh-CN"/>
        </w:rPr>
      </w:pPr>
      <w:r>
        <w:rPr>
          <w:rFonts w:hint="eastAsia"/>
          <w:color w:val="auto"/>
          <w:lang w:val="en-US" w:eastAsia="zh-CN"/>
        </w:rPr>
        <w:t>应确定</w:t>
      </w:r>
      <w:r>
        <w:rPr>
          <w:rFonts w:hint="eastAsia"/>
          <w:color w:val="auto"/>
          <w:lang w:eastAsia="zh-CN"/>
        </w:rPr>
        <w:t>查验内容，</w:t>
      </w:r>
      <w:r>
        <w:rPr>
          <w:rFonts w:hint="eastAsia"/>
          <w:color w:val="auto"/>
          <w:lang w:val="en-US" w:eastAsia="zh-CN"/>
        </w:rPr>
        <w:t>包括但不限于：</w:t>
      </w:r>
    </w:p>
    <w:p>
      <w:pPr>
        <w:pStyle w:val="132"/>
        <w:bidi w:val="0"/>
        <w:rPr>
          <w:rFonts w:hint="eastAsia"/>
          <w:color w:val="auto"/>
          <w:lang w:eastAsia="zh-CN"/>
        </w:rPr>
      </w:pPr>
      <w:r>
        <w:rPr>
          <w:rFonts w:hint="eastAsia"/>
          <w:color w:val="auto"/>
          <w:lang w:eastAsia="zh-CN"/>
        </w:rPr>
        <w:t>核对设施设备规格型号、数量及安装位置是否与竣工资料一致。</w:t>
      </w:r>
    </w:p>
    <w:p>
      <w:pPr>
        <w:pStyle w:val="132"/>
        <w:bidi w:val="0"/>
        <w:rPr>
          <w:rFonts w:hint="eastAsia"/>
          <w:color w:val="auto"/>
          <w:lang w:eastAsia="zh-CN"/>
        </w:rPr>
      </w:pPr>
      <w:r>
        <w:rPr>
          <w:rFonts w:hint="eastAsia"/>
          <w:color w:val="auto"/>
          <w:lang w:eastAsia="zh-CN"/>
        </w:rPr>
        <w:t>检查共用部位和设施设备的运行状况、完好程度及使用功能。</w:t>
      </w:r>
    </w:p>
    <w:p>
      <w:pPr>
        <w:pStyle w:val="132"/>
        <w:bidi w:val="0"/>
        <w:rPr>
          <w:rFonts w:hint="eastAsia"/>
          <w:color w:val="auto"/>
          <w:lang w:eastAsia="zh-CN"/>
        </w:rPr>
      </w:pPr>
      <w:r>
        <w:rPr>
          <w:rFonts w:hint="eastAsia"/>
          <w:color w:val="auto"/>
          <w:lang w:eastAsia="zh-CN"/>
        </w:rPr>
        <w:t>检查房屋本体是否存在安全隐患，如裂缝、渗漏、沉降等。</w:t>
      </w:r>
    </w:p>
    <w:p>
      <w:pPr>
        <w:pStyle w:val="132"/>
        <w:bidi w:val="0"/>
        <w:rPr>
          <w:rFonts w:hint="eastAsia"/>
          <w:color w:val="auto"/>
          <w:lang w:eastAsia="zh-CN"/>
        </w:rPr>
      </w:pPr>
      <w:r>
        <w:rPr>
          <w:rFonts w:hint="eastAsia"/>
          <w:color w:val="auto"/>
          <w:lang w:eastAsia="zh-CN"/>
        </w:rPr>
        <w:t>检查配套设施是否齐全、完好，标识是否清晰。</w:t>
      </w:r>
    </w:p>
    <w:p>
      <w:pPr>
        <w:pStyle w:val="132"/>
        <w:bidi w:val="0"/>
        <w:rPr>
          <w:rFonts w:hint="eastAsia"/>
          <w:color w:val="auto"/>
          <w:lang w:eastAsia="zh-CN"/>
        </w:rPr>
      </w:pPr>
      <w:r>
        <w:rPr>
          <w:rFonts w:hint="eastAsia"/>
          <w:color w:val="auto"/>
          <w:lang w:eastAsia="zh-CN"/>
        </w:rPr>
        <w:t>核对</w:t>
      </w:r>
      <w:r>
        <w:rPr>
          <w:rFonts w:hint="eastAsia"/>
          <w:color w:val="auto"/>
          <w:lang w:val="en-US" w:eastAsia="zh-CN"/>
        </w:rPr>
        <w:t>特种设备</w:t>
      </w:r>
      <w:r>
        <w:rPr>
          <w:rFonts w:hint="eastAsia"/>
          <w:color w:val="auto"/>
          <w:lang w:eastAsia="zh-CN"/>
        </w:rPr>
        <w:t>检验合格证明及有效期。</w:t>
      </w:r>
    </w:p>
    <w:p>
      <w:pPr>
        <w:pStyle w:val="165"/>
        <w:bidi w:val="0"/>
        <w:rPr>
          <w:rFonts w:hint="default"/>
          <w:color w:val="auto"/>
          <w:lang w:val="en-US" w:eastAsia="zh-CN"/>
        </w:rPr>
      </w:pPr>
      <w:r>
        <w:rPr>
          <w:rFonts w:hint="eastAsia"/>
          <w:color w:val="auto"/>
          <w:lang w:val="en-US" w:eastAsia="zh-CN"/>
        </w:rPr>
        <w:t>应明确</w:t>
      </w:r>
      <w:r>
        <w:rPr>
          <w:rFonts w:hint="eastAsia"/>
          <w:color w:val="auto"/>
          <w:lang w:eastAsia="zh-CN"/>
        </w:rPr>
        <w:t>查验方式，</w:t>
      </w:r>
      <w:r>
        <w:rPr>
          <w:rFonts w:hint="eastAsia"/>
          <w:color w:val="auto"/>
          <w:lang w:val="en-US" w:eastAsia="zh-CN"/>
        </w:rPr>
        <w:t>包括但不限于：</w:t>
      </w:r>
    </w:p>
    <w:p>
      <w:pPr>
        <w:pStyle w:val="132"/>
        <w:bidi w:val="0"/>
        <w:rPr>
          <w:rFonts w:hint="eastAsia"/>
          <w:color w:val="auto"/>
          <w:lang w:eastAsia="zh-CN"/>
        </w:rPr>
      </w:pPr>
      <w:r>
        <w:rPr>
          <w:rFonts w:hint="eastAsia"/>
          <w:color w:val="auto"/>
          <w:lang w:eastAsia="zh-CN"/>
        </w:rPr>
        <w:t>综合运用核对、观察、使用、检测和试验等方法。</w:t>
      </w:r>
    </w:p>
    <w:p>
      <w:pPr>
        <w:pStyle w:val="132"/>
        <w:bidi w:val="0"/>
        <w:rPr>
          <w:rFonts w:hint="eastAsia"/>
          <w:color w:val="auto"/>
          <w:lang w:eastAsia="zh-CN"/>
        </w:rPr>
      </w:pPr>
      <w:r>
        <w:rPr>
          <w:rFonts w:hint="eastAsia"/>
          <w:color w:val="auto"/>
          <w:lang w:eastAsia="zh-CN"/>
        </w:rPr>
        <w:t>对重要设施设备和隐蔽工程，宜采用专业仪器检测或委托第三方检测。</w:t>
      </w:r>
    </w:p>
    <w:p>
      <w:pPr>
        <w:pStyle w:val="132"/>
        <w:bidi w:val="0"/>
        <w:rPr>
          <w:rFonts w:hint="eastAsia"/>
          <w:color w:val="auto"/>
          <w:lang w:eastAsia="zh-CN"/>
        </w:rPr>
      </w:pPr>
      <w:r>
        <w:rPr>
          <w:rFonts w:hint="eastAsia"/>
          <w:color w:val="auto"/>
          <w:lang w:eastAsia="zh-CN"/>
        </w:rPr>
        <w:t>查验过程应做好文字记录、影像记录，必要时绘制查验示意图。</w:t>
      </w:r>
    </w:p>
    <w:p>
      <w:pPr>
        <w:pStyle w:val="105"/>
        <w:bidi w:val="0"/>
        <w:rPr>
          <w:rFonts w:hint="eastAsia"/>
          <w:color w:val="auto"/>
          <w:lang w:val="en-US" w:eastAsia="zh-CN"/>
        </w:rPr>
      </w:pPr>
      <w:bookmarkStart w:id="55" w:name="_Toc21178"/>
      <w:r>
        <w:rPr>
          <w:rFonts w:hint="eastAsia"/>
          <w:color w:val="auto"/>
          <w:lang w:val="en-US" w:eastAsia="zh-CN"/>
        </w:rPr>
        <w:t>查验整改</w:t>
      </w:r>
      <w:bookmarkEnd w:id="55"/>
    </w:p>
    <w:p>
      <w:pPr>
        <w:pStyle w:val="165"/>
        <w:bidi w:val="0"/>
        <w:rPr>
          <w:rFonts w:hint="eastAsia"/>
          <w:color w:val="auto"/>
          <w:lang w:eastAsia="zh-CN"/>
        </w:rPr>
      </w:pPr>
      <w:r>
        <w:rPr>
          <w:rFonts w:hint="eastAsia"/>
          <w:color w:val="auto"/>
          <w:lang w:eastAsia="zh-CN"/>
        </w:rPr>
        <w:t>查验中发现的问题应逐项登记，载明问题部位、问题描述、严重程度、责任归属及整改建议。问题记录应由查验各方签字确认。</w:t>
      </w:r>
    </w:p>
    <w:p>
      <w:pPr>
        <w:pStyle w:val="165"/>
        <w:bidi w:val="0"/>
        <w:rPr>
          <w:rFonts w:hint="eastAsia"/>
          <w:color w:val="auto"/>
          <w:lang w:eastAsia="zh-CN"/>
        </w:rPr>
      </w:pPr>
      <w:r>
        <w:rPr>
          <w:rFonts w:hint="eastAsia"/>
          <w:color w:val="auto"/>
          <w:lang w:eastAsia="zh-CN"/>
        </w:rPr>
        <w:t>对查验中发现的问题，应书面通知责任方限期整改。</w:t>
      </w:r>
    </w:p>
    <w:p>
      <w:pPr>
        <w:pStyle w:val="165"/>
        <w:bidi w:val="0"/>
        <w:rPr>
          <w:rFonts w:hint="eastAsia"/>
          <w:color w:val="auto"/>
          <w:lang w:eastAsia="zh-CN"/>
        </w:rPr>
      </w:pPr>
      <w:r>
        <w:rPr>
          <w:rFonts w:hint="eastAsia"/>
          <w:color w:val="auto"/>
          <w:lang w:eastAsia="zh-CN"/>
        </w:rPr>
        <w:t>应跟踪整改落实情况，对整改结果进行复验。</w:t>
      </w:r>
    </w:p>
    <w:p>
      <w:pPr>
        <w:pStyle w:val="165"/>
        <w:bidi w:val="0"/>
        <w:rPr>
          <w:rFonts w:hint="eastAsia"/>
          <w:color w:val="auto"/>
          <w:lang w:eastAsia="zh-CN"/>
        </w:rPr>
      </w:pPr>
      <w:r>
        <w:rPr>
          <w:rFonts w:hint="eastAsia"/>
          <w:color w:val="auto"/>
          <w:lang w:eastAsia="zh-CN"/>
        </w:rPr>
        <w:t>重大问题整改完成前，应明确临时管理措施和应急预案。</w:t>
      </w:r>
    </w:p>
    <w:p>
      <w:pPr>
        <w:pStyle w:val="105"/>
        <w:bidi w:val="0"/>
        <w:rPr>
          <w:rFonts w:hint="eastAsia"/>
          <w:color w:val="auto"/>
          <w:lang w:val="en-US" w:eastAsia="zh-CN"/>
        </w:rPr>
      </w:pPr>
      <w:bookmarkStart w:id="56" w:name="_Toc10760"/>
      <w:r>
        <w:rPr>
          <w:rFonts w:hint="eastAsia"/>
          <w:color w:val="auto"/>
          <w:lang w:val="en-US" w:eastAsia="zh-CN"/>
        </w:rPr>
        <w:t>移交与接管</w:t>
      </w:r>
      <w:bookmarkEnd w:id="56"/>
    </w:p>
    <w:p>
      <w:pPr>
        <w:pStyle w:val="165"/>
        <w:bidi w:val="0"/>
        <w:rPr>
          <w:rFonts w:hint="eastAsia"/>
          <w:color w:val="auto"/>
          <w:lang w:eastAsia="zh-CN"/>
        </w:rPr>
      </w:pPr>
      <w:r>
        <w:rPr>
          <w:rFonts w:hint="eastAsia"/>
          <w:color w:val="auto"/>
          <w:lang w:eastAsia="zh-CN"/>
        </w:rPr>
        <w:t>查验合格或问题整改完成后，应与移交方、物业使用单位办理正式移交手续。移交内容包括物业共用部位、共用设施设备、物业服务用房、</w:t>
      </w:r>
      <w:r>
        <w:rPr>
          <w:rFonts w:hint="eastAsia"/>
          <w:color w:val="auto"/>
          <w:lang w:val="en-US" w:eastAsia="zh-CN"/>
        </w:rPr>
        <w:t>竣工资料、设备保养说明书、保修卡</w:t>
      </w:r>
      <w:r>
        <w:rPr>
          <w:rFonts w:hint="eastAsia"/>
          <w:color w:val="auto"/>
          <w:lang w:eastAsia="zh-CN"/>
        </w:rPr>
        <w:t>及</w:t>
      </w:r>
      <w:r>
        <w:rPr>
          <w:rFonts w:hint="eastAsia"/>
          <w:color w:val="auto"/>
          <w:lang w:val="en-US" w:eastAsia="zh-CN"/>
        </w:rPr>
        <w:t>各类</w:t>
      </w:r>
      <w:r>
        <w:rPr>
          <w:rFonts w:hint="eastAsia"/>
          <w:color w:val="auto"/>
          <w:lang w:eastAsia="zh-CN"/>
        </w:rPr>
        <w:t>档案等。</w:t>
      </w:r>
    </w:p>
    <w:p>
      <w:pPr>
        <w:pStyle w:val="165"/>
        <w:bidi w:val="0"/>
        <w:rPr>
          <w:rFonts w:hint="eastAsia"/>
          <w:color w:val="auto"/>
          <w:lang w:val="en-US" w:eastAsia="zh-CN"/>
        </w:rPr>
      </w:pPr>
      <w:r>
        <w:rPr>
          <w:rFonts w:hint="eastAsia"/>
          <w:color w:val="auto"/>
          <w:lang w:val="en-US" w:eastAsia="zh-CN"/>
        </w:rPr>
        <w:t>接管物业前，应</w:t>
      </w:r>
      <w:r>
        <w:rPr>
          <w:rFonts w:hint="eastAsia"/>
          <w:color w:val="auto"/>
          <w:lang w:eastAsia="zh-CN"/>
        </w:rPr>
        <w:t>签订协议，</w:t>
      </w:r>
      <w:r>
        <w:rPr>
          <w:rFonts w:hint="eastAsia"/>
          <w:color w:val="auto"/>
          <w:lang w:val="en-US" w:eastAsia="zh-CN"/>
        </w:rPr>
        <w:t>具体包括但不限于：</w:t>
      </w:r>
    </w:p>
    <w:p>
      <w:pPr>
        <w:pStyle w:val="132"/>
        <w:bidi w:val="0"/>
        <w:rPr>
          <w:rFonts w:hint="eastAsia"/>
          <w:color w:val="auto"/>
          <w:lang w:eastAsia="zh-CN"/>
        </w:rPr>
      </w:pPr>
      <w:r>
        <w:rPr>
          <w:rFonts w:hint="eastAsia"/>
          <w:color w:val="auto"/>
          <w:lang w:eastAsia="zh-CN"/>
        </w:rPr>
        <w:t>新建物业应与建设单位、物业使用单位签订物业承接查验协议。</w:t>
      </w:r>
    </w:p>
    <w:p>
      <w:pPr>
        <w:pStyle w:val="132"/>
        <w:bidi w:val="0"/>
        <w:rPr>
          <w:rFonts w:hint="eastAsia"/>
          <w:color w:val="auto"/>
          <w:lang w:eastAsia="zh-CN"/>
        </w:rPr>
      </w:pPr>
      <w:r>
        <w:rPr>
          <w:rFonts w:hint="eastAsia"/>
          <w:color w:val="auto"/>
          <w:lang w:eastAsia="zh-CN"/>
        </w:rPr>
        <w:t>既有物业转接应与移交方、物业使用单位签订物业交接协议。</w:t>
      </w:r>
    </w:p>
    <w:p>
      <w:pPr>
        <w:pStyle w:val="132"/>
        <w:bidi w:val="0"/>
        <w:rPr>
          <w:rFonts w:hint="eastAsia"/>
          <w:color w:val="auto"/>
          <w:lang w:eastAsia="zh-CN"/>
        </w:rPr>
      </w:pPr>
      <w:r>
        <w:rPr>
          <w:rFonts w:hint="eastAsia"/>
          <w:color w:val="auto"/>
          <w:lang w:eastAsia="zh-CN"/>
        </w:rPr>
        <w:t>协议应明确查验结果、存在问题、整改责任、保修责任、资料移交清单、交接时间、管理责任分界等事项。</w:t>
      </w:r>
    </w:p>
    <w:p>
      <w:pPr>
        <w:pStyle w:val="105"/>
        <w:bidi w:val="0"/>
        <w:rPr>
          <w:rFonts w:hint="eastAsia"/>
          <w:color w:val="auto"/>
          <w:lang w:eastAsia="zh-CN"/>
        </w:rPr>
      </w:pPr>
      <w:bookmarkStart w:id="57" w:name="_Toc26022"/>
      <w:r>
        <w:rPr>
          <w:rFonts w:hint="eastAsia"/>
          <w:color w:val="auto"/>
          <w:lang w:eastAsia="zh-CN"/>
        </w:rPr>
        <w:t>既有物业转接特殊</w:t>
      </w:r>
      <w:r>
        <w:rPr>
          <w:rFonts w:hint="eastAsia"/>
          <w:color w:val="auto"/>
          <w:lang w:val="en-US" w:eastAsia="zh-CN"/>
        </w:rPr>
        <w:t>需求</w:t>
      </w:r>
      <w:bookmarkEnd w:id="57"/>
    </w:p>
    <w:p>
      <w:pPr>
        <w:pStyle w:val="56"/>
        <w:rPr>
          <w:rFonts w:hint="eastAsia"/>
          <w:color w:val="auto"/>
          <w:lang w:val="en-US" w:eastAsia="zh-CN"/>
        </w:rPr>
      </w:pPr>
      <w:r>
        <w:rPr>
          <w:rFonts w:hint="eastAsia"/>
          <w:color w:val="auto"/>
          <w:lang w:val="en-US" w:eastAsia="zh-CN"/>
        </w:rPr>
        <w:t>对既有物业转接，应根据实际情况提供以下服务，包括但不限于：</w:t>
      </w:r>
    </w:p>
    <w:p>
      <w:pPr>
        <w:pStyle w:val="132"/>
        <w:bidi w:val="0"/>
        <w:rPr>
          <w:rFonts w:hint="eastAsia"/>
          <w:color w:val="auto"/>
          <w:lang w:eastAsia="zh-CN"/>
        </w:rPr>
      </w:pPr>
      <w:r>
        <w:rPr>
          <w:rFonts w:hint="eastAsia"/>
          <w:color w:val="auto"/>
          <w:lang w:eastAsia="zh-CN"/>
        </w:rPr>
        <w:t>了解既有物业服务人员配置情况，根据实际需要做好人员接收或重新招聘工作。</w:t>
      </w:r>
    </w:p>
    <w:p>
      <w:pPr>
        <w:pStyle w:val="132"/>
        <w:bidi w:val="0"/>
        <w:rPr>
          <w:rFonts w:hint="eastAsia"/>
          <w:color w:val="auto"/>
          <w:lang w:eastAsia="zh-CN"/>
        </w:rPr>
      </w:pPr>
      <w:r>
        <w:rPr>
          <w:rFonts w:hint="eastAsia"/>
          <w:color w:val="auto"/>
          <w:lang w:eastAsia="zh-CN"/>
        </w:rPr>
        <w:t>做好服务衔接，确保转接期间服务不中断。</w:t>
      </w:r>
    </w:p>
    <w:p>
      <w:pPr>
        <w:pStyle w:val="132"/>
        <w:bidi w:val="0"/>
        <w:rPr>
          <w:rFonts w:hint="eastAsia"/>
          <w:color w:val="auto"/>
          <w:lang w:eastAsia="zh-CN"/>
        </w:rPr>
      </w:pPr>
      <w:r>
        <w:rPr>
          <w:rFonts w:hint="eastAsia"/>
          <w:color w:val="auto"/>
          <w:lang w:eastAsia="zh-CN"/>
        </w:rPr>
        <w:t>协助物业使用单位厘清前期物业服务费用等财务事项。</w:t>
      </w:r>
    </w:p>
    <w:p>
      <w:pPr>
        <w:pStyle w:val="132"/>
        <w:bidi w:val="0"/>
        <w:rPr>
          <w:rFonts w:hint="eastAsia"/>
          <w:color w:val="auto"/>
          <w:lang w:eastAsia="zh-CN"/>
        </w:rPr>
      </w:pPr>
      <w:r>
        <w:rPr>
          <w:rFonts w:hint="eastAsia"/>
          <w:color w:val="auto"/>
          <w:lang w:eastAsia="zh-CN"/>
        </w:rPr>
        <w:t>对转接前存在的房屋及设施设备维修遗留问题，书面告知物业使用单位，明确维修责任主体和资金来源。</w:t>
      </w:r>
    </w:p>
    <w:p>
      <w:pPr>
        <w:pStyle w:val="132"/>
        <w:bidi w:val="0"/>
        <w:rPr>
          <w:rFonts w:hint="eastAsia"/>
          <w:color w:val="auto"/>
          <w:lang w:eastAsia="zh-CN"/>
        </w:rPr>
      </w:pPr>
      <w:r>
        <w:rPr>
          <w:rFonts w:hint="eastAsia"/>
          <w:color w:val="auto"/>
          <w:lang w:eastAsia="zh-CN"/>
        </w:rPr>
        <w:t>对历史欠费、未完结投诉等事项进行梳理并移交。</w:t>
      </w:r>
    </w:p>
    <w:p>
      <w:pPr>
        <w:pStyle w:val="104"/>
        <w:bidi w:val="0"/>
        <w:rPr>
          <w:rFonts w:hint="eastAsia"/>
          <w:color w:val="auto"/>
          <w:lang w:eastAsia="zh-CN"/>
        </w:rPr>
      </w:pPr>
      <w:bookmarkStart w:id="58" w:name="_Toc10983"/>
      <w:r>
        <w:rPr>
          <w:rFonts w:hint="eastAsia"/>
          <w:color w:val="auto"/>
          <w:lang w:eastAsia="zh-CN"/>
        </w:rPr>
        <w:t>服务内容与要求</w:t>
      </w:r>
      <w:bookmarkEnd w:id="58"/>
    </w:p>
    <w:p>
      <w:pPr>
        <w:pStyle w:val="105"/>
        <w:bidi w:val="0"/>
        <w:rPr>
          <w:rFonts w:hint="eastAsia"/>
          <w:color w:val="auto"/>
          <w:lang w:val="en-US" w:eastAsia="zh-CN"/>
        </w:rPr>
      </w:pPr>
      <w:bookmarkStart w:id="59" w:name="_Toc31942"/>
      <w:r>
        <w:rPr>
          <w:rFonts w:hint="eastAsia"/>
          <w:color w:val="auto"/>
          <w:lang w:val="en-US" w:eastAsia="zh-CN"/>
        </w:rPr>
        <w:t>公共秩序维护服务</w:t>
      </w:r>
      <w:bookmarkEnd w:id="59"/>
    </w:p>
    <w:p>
      <w:pPr>
        <w:pStyle w:val="165"/>
        <w:bidi w:val="0"/>
        <w:rPr>
          <w:rFonts w:hint="eastAsia"/>
          <w:color w:val="auto"/>
          <w:lang w:val="en-US" w:eastAsia="zh-CN"/>
        </w:rPr>
      </w:pPr>
      <w:r>
        <w:rPr>
          <w:rFonts w:hint="eastAsia"/>
          <w:color w:val="auto"/>
          <w:lang w:val="en-US" w:eastAsia="zh-CN"/>
        </w:rPr>
        <w:t>人员出入管理服务应符合以下要求：</w:t>
      </w:r>
    </w:p>
    <w:p>
      <w:pPr>
        <w:pStyle w:val="132"/>
        <w:bidi w:val="0"/>
        <w:rPr>
          <w:color w:val="auto"/>
        </w:rPr>
      </w:pPr>
      <w:r>
        <w:rPr>
          <w:rFonts w:hint="eastAsia"/>
          <w:color w:val="auto"/>
          <w:lang w:val="en-US" w:eastAsia="zh-CN"/>
        </w:rPr>
        <w:t xml:space="preserve">主出入口应实行24小时值班制，若有多栋独立办公楼，可在每栋办公楼出入口设出入管理岗。 </w:t>
      </w:r>
    </w:p>
    <w:p>
      <w:pPr>
        <w:pStyle w:val="132"/>
        <w:bidi w:val="0"/>
        <w:rPr>
          <w:color w:val="auto"/>
        </w:rPr>
      </w:pPr>
      <w:r>
        <w:rPr>
          <w:rFonts w:hint="eastAsia"/>
          <w:color w:val="auto"/>
          <w:lang w:val="en-US" w:eastAsia="zh-CN"/>
        </w:rPr>
        <w:t xml:space="preserve">来访人员申请进入时，接待登记人员应请其说明受访单位和人员，使用办公固定电话与受访单位或人员联系，得到确认答复后办理登记手续。 </w:t>
      </w:r>
    </w:p>
    <w:p>
      <w:pPr>
        <w:pStyle w:val="132"/>
        <w:bidi w:val="0"/>
        <w:rPr>
          <w:color w:val="auto"/>
        </w:rPr>
      </w:pPr>
      <w:r>
        <w:rPr>
          <w:rFonts w:hint="eastAsia"/>
          <w:color w:val="auto"/>
          <w:lang w:val="en-US" w:eastAsia="zh-CN"/>
        </w:rPr>
        <w:t>应主导排查可疑人员，对于不按规定登记、不听劝阻而强行闯入者，应及时劝离，必要时通知公安机关进行处理。</w:t>
      </w:r>
    </w:p>
    <w:p>
      <w:pPr>
        <w:pStyle w:val="165"/>
        <w:bidi w:val="0"/>
        <w:rPr>
          <w:rFonts w:hint="eastAsia"/>
          <w:color w:val="auto"/>
          <w:lang w:val="en-US" w:eastAsia="zh-CN"/>
        </w:rPr>
      </w:pPr>
      <w:r>
        <w:rPr>
          <w:rFonts w:hint="eastAsia"/>
          <w:color w:val="auto"/>
          <w:lang w:val="en-US" w:eastAsia="zh-CN"/>
        </w:rPr>
        <w:t>车辆出入管理服务应符合以下要求：</w:t>
      </w:r>
    </w:p>
    <w:p>
      <w:pPr>
        <w:pStyle w:val="132"/>
        <w:bidi w:val="0"/>
        <w:rPr>
          <w:color w:val="auto"/>
        </w:rPr>
      </w:pPr>
      <w:r>
        <w:rPr>
          <w:rFonts w:hint="eastAsia"/>
          <w:color w:val="auto"/>
          <w:lang w:val="en-US" w:eastAsia="zh-CN"/>
        </w:rPr>
        <w:t xml:space="preserve">应主动引导公务和工作人员车辆凭有效通行证出入。 </w:t>
      </w:r>
    </w:p>
    <w:p>
      <w:pPr>
        <w:pStyle w:val="132"/>
        <w:bidi w:val="0"/>
        <w:rPr>
          <w:color w:val="auto"/>
        </w:rPr>
      </w:pPr>
      <w:r>
        <w:rPr>
          <w:rFonts w:hint="eastAsia"/>
          <w:color w:val="auto"/>
          <w:lang w:val="en-US" w:eastAsia="zh-CN"/>
        </w:rPr>
        <w:t xml:space="preserve">应明确车辆通行和临时停靠区域，对出入车辆进行及时有效疏导，保证出入口的通畅。 </w:t>
      </w:r>
    </w:p>
    <w:p>
      <w:pPr>
        <w:pStyle w:val="132"/>
        <w:bidi w:val="0"/>
        <w:rPr>
          <w:rFonts w:hint="eastAsia"/>
          <w:color w:val="auto"/>
          <w:lang w:val="en-US" w:eastAsia="zh-CN"/>
        </w:rPr>
      </w:pPr>
      <w:r>
        <w:rPr>
          <w:rFonts w:hint="eastAsia"/>
          <w:color w:val="auto"/>
          <w:lang w:val="en-US" w:eastAsia="zh-CN"/>
        </w:rPr>
        <w:t>当外来车辆进入时，应按服务单位规定进行管理，如出示通行证或进行车辆信息登记等。</w:t>
      </w:r>
    </w:p>
    <w:p>
      <w:pPr>
        <w:pStyle w:val="132"/>
        <w:bidi w:val="0"/>
        <w:rPr>
          <w:rFonts w:hint="eastAsia"/>
          <w:color w:val="auto"/>
          <w:lang w:val="en-US" w:eastAsia="zh-CN"/>
        </w:rPr>
      </w:pPr>
      <w:r>
        <w:rPr>
          <w:rFonts w:hint="eastAsia"/>
          <w:color w:val="auto"/>
          <w:lang w:val="en-US" w:eastAsia="zh-CN"/>
        </w:rPr>
        <w:t>不应对载有易燃、易爆等危险物品的车辆或其他存在危险驾驶行为车辆放行进入。</w:t>
      </w:r>
    </w:p>
    <w:p>
      <w:pPr>
        <w:pStyle w:val="165"/>
        <w:bidi w:val="0"/>
        <w:rPr>
          <w:rFonts w:hint="default"/>
          <w:color w:val="auto"/>
          <w:lang w:val="en-US" w:eastAsia="zh-CN"/>
        </w:rPr>
      </w:pPr>
      <w:r>
        <w:rPr>
          <w:rFonts w:hint="eastAsia"/>
          <w:color w:val="auto"/>
          <w:lang w:val="en-US" w:eastAsia="zh-CN"/>
        </w:rPr>
        <w:t>物品出入管理服务应符合以下要求：</w:t>
      </w:r>
    </w:p>
    <w:p>
      <w:pPr>
        <w:pStyle w:val="132"/>
        <w:bidi w:val="0"/>
        <w:rPr>
          <w:color w:val="auto"/>
        </w:rPr>
      </w:pPr>
      <w:r>
        <w:rPr>
          <w:rFonts w:hint="eastAsia"/>
          <w:color w:val="auto"/>
          <w:lang w:val="en-US" w:eastAsia="zh-CN"/>
        </w:rPr>
        <w:t xml:space="preserve">进入服务区域的物品应符合国家卫生检疫标准和安全防范要求，并进行检查登记。 </w:t>
      </w:r>
    </w:p>
    <w:p>
      <w:pPr>
        <w:pStyle w:val="132"/>
        <w:bidi w:val="0"/>
        <w:rPr>
          <w:color w:val="auto"/>
        </w:rPr>
      </w:pPr>
      <w:r>
        <w:rPr>
          <w:rFonts w:hint="eastAsia"/>
          <w:color w:val="auto"/>
          <w:lang w:val="en-US" w:eastAsia="zh-CN"/>
        </w:rPr>
        <w:t xml:space="preserve">发现有携带可疑危险品（易燃、易爆、剧毒等）进入时，应及时 上报主管部门。 </w:t>
      </w:r>
    </w:p>
    <w:p>
      <w:pPr>
        <w:pStyle w:val="132"/>
        <w:bidi w:val="0"/>
        <w:rPr>
          <w:color w:val="auto"/>
        </w:rPr>
      </w:pPr>
      <w:r>
        <w:rPr>
          <w:rFonts w:hint="eastAsia"/>
          <w:color w:val="auto"/>
          <w:lang w:val="en-US" w:eastAsia="zh-CN"/>
        </w:rPr>
        <w:t xml:space="preserve">大件物品搬出应有相关部门签发的出门证，经查验后放行，并形成记录。 </w:t>
      </w:r>
    </w:p>
    <w:p>
      <w:pPr>
        <w:pStyle w:val="132"/>
        <w:bidi w:val="0"/>
        <w:rPr>
          <w:rFonts w:hint="default"/>
          <w:color w:val="auto"/>
          <w:lang w:val="en-US" w:eastAsia="zh-CN"/>
        </w:rPr>
      </w:pPr>
      <w:r>
        <w:rPr>
          <w:rFonts w:hint="eastAsia"/>
          <w:color w:val="auto"/>
          <w:lang w:val="en-US" w:eastAsia="zh-CN"/>
        </w:rPr>
        <w:t>施工人员携带物品或工具出入，应有相关部门开据的证明或清单，经核实后放行。</w:t>
      </w:r>
    </w:p>
    <w:p>
      <w:pPr>
        <w:pStyle w:val="165"/>
        <w:bidi w:val="0"/>
        <w:rPr>
          <w:rFonts w:hint="eastAsia"/>
          <w:color w:val="auto"/>
          <w:lang w:val="en-US" w:eastAsia="zh-CN"/>
        </w:rPr>
      </w:pPr>
      <w:r>
        <w:rPr>
          <w:rFonts w:hint="eastAsia"/>
          <w:color w:val="auto"/>
          <w:lang w:val="en-US" w:eastAsia="zh-CN"/>
        </w:rPr>
        <w:t>车辆停放管理服务应符合以下要求：</w:t>
      </w:r>
    </w:p>
    <w:p>
      <w:pPr>
        <w:pStyle w:val="132"/>
        <w:bidi w:val="0"/>
        <w:rPr>
          <w:color w:val="auto"/>
        </w:rPr>
      </w:pPr>
      <w:r>
        <w:rPr>
          <w:rFonts w:hint="eastAsia"/>
          <w:color w:val="auto"/>
          <w:lang w:val="en-US" w:eastAsia="zh-CN"/>
        </w:rPr>
        <w:t>应合理规划机动车辆和非机动车辆停放区域，</w:t>
      </w:r>
      <w:r>
        <w:rPr>
          <w:color w:val="auto"/>
          <w:lang w:val="en-US" w:eastAsia="zh-CN"/>
        </w:rPr>
        <w:t>设置明显车辆引导和警示标志，车位线清晰完整</w:t>
      </w:r>
      <w:r>
        <w:rPr>
          <w:rFonts w:hint="eastAsia"/>
          <w:color w:val="auto"/>
          <w:lang w:val="en-US" w:eastAsia="zh-CN"/>
        </w:rPr>
        <w:t>，</w:t>
      </w:r>
      <w:r>
        <w:rPr>
          <w:color w:val="auto"/>
          <w:lang w:val="en-US" w:eastAsia="zh-CN"/>
        </w:rPr>
        <w:t>不应在</w:t>
      </w:r>
      <w:r>
        <w:rPr>
          <w:rFonts w:hint="eastAsia"/>
          <w:color w:val="auto"/>
          <w:lang w:val="en-US" w:eastAsia="zh-CN"/>
        </w:rPr>
        <w:t>停放区域</w:t>
      </w:r>
      <w:r>
        <w:rPr>
          <w:color w:val="auto"/>
          <w:lang w:val="en-US" w:eastAsia="zh-CN"/>
        </w:rPr>
        <w:t>堆积、存放易燃易爆等危险品以及其他杂物。</w:t>
      </w:r>
    </w:p>
    <w:p>
      <w:pPr>
        <w:pStyle w:val="132"/>
        <w:bidi w:val="0"/>
        <w:rPr>
          <w:rFonts w:hint="eastAsia"/>
          <w:color w:val="auto"/>
          <w:lang w:val="en-US" w:eastAsia="zh-CN"/>
        </w:rPr>
      </w:pPr>
      <w:r>
        <w:rPr>
          <w:rFonts w:hint="eastAsia"/>
          <w:color w:val="auto"/>
          <w:lang w:val="en-US" w:eastAsia="zh-CN"/>
        </w:rPr>
        <w:t>车辆停放实行专人管理，不应随意占道或占位停放，确保车辆停放有序。</w:t>
      </w:r>
    </w:p>
    <w:p>
      <w:pPr>
        <w:pStyle w:val="132"/>
        <w:bidi w:val="0"/>
        <w:rPr>
          <w:color w:val="auto"/>
        </w:rPr>
      </w:pPr>
      <w:r>
        <w:rPr>
          <w:rFonts w:hint="eastAsia"/>
          <w:color w:val="auto"/>
          <w:lang w:val="en-US" w:eastAsia="zh-CN"/>
        </w:rPr>
        <w:t>应主动提醒驾驶员关闭好门窗，适时巡检停放车辆的状况，发现车门、窗没关好，漏水，漏油等现象应及时通知车主。</w:t>
      </w:r>
    </w:p>
    <w:p>
      <w:pPr>
        <w:pStyle w:val="132"/>
        <w:bidi w:val="0"/>
        <w:rPr>
          <w:color w:val="auto"/>
        </w:rPr>
      </w:pPr>
      <w:r>
        <w:rPr>
          <w:color w:val="auto"/>
          <w:lang w:val="en-US" w:eastAsia="zh-CN"/>
        </w:rPr>
        <w:t>应</w:t>
      </w:r>
      <w:r>
        <w:rPr>
          <w:rFonts w:hint="eastAsia"/>
          <w:color w:val="auto"/>
          <w:lang w:val="en-US" w:eastAsia="zh-CN"/>
        </w:rPr>
        <w:t>定期</w:t>
      </w:r>
      <w:r>
        <w:rPr>
          <w:color w:val="auto"/>
          <w:lang w:val="en-US" w:eastAsia="zh-CN"/>
        </w:rPr>
        <w:t>对车场内设备（消防设备、道闸、车位显示器、车位感应器、照明设备、充电桩等）</w:t>
      </w:r>
      <w:r>
        <w:rPr>
          <w:rFonts w:hint="default"/>
          <w:color w:val="auto"/>
          <w:lang w:val="en-US" w:eastAsia="zh-CN"/>
        </w:rPr>
        <w:t>进行巡检，发现故障及时</w:t>
      </w:r>
      <w:r>
        <w:rPr>
          <w:rFonts w:hint="eastAsia"/>
          <w:color w:val="auto"/>
          <w:lang w:val="en-US" w:eastAsia="zh-CN"/>
        </w:rPr>
        <w:t>处理</w:t>
      </w:r>
      <w:r>
        <w:rPr>
          <w:rFonts w:hint="default"/>
          <w:color w:val="auto"/>
          <w:lang w:val="en-US" w:eastAsia="zh-CN"/>
        </w:rPr>
        <w:t>，确保各项设备可正常使用，做好巡检记录。</w:t>
      </w:r>
    </w:p>
    <w:p>
      <w:pPr>
        <w:pStyle w:val="132"/>
        <w:bidi w:val="0"/>
        <w:rPr>
          <w:rFonts w:hint="eastAsia"/>
          <w:color w:val="auto"/>
          <w:lang w:val="en-US" w:eastAsia="zh-CN"/>
        </w:rPr>
      </w:pPr>
      <w:r>
        <w:rPr>
          <w:rFonts w:hint="eastAsia"/>
          <w:color w:val="auto"/>
          <w:lang w:val="en-US" w:eastAsia="zh-CN"/>
        </w:rPr>
        <w:t>应定期上报并协助清理停车区域内长期不使用车辆。</w:t>
      </w:r>
    </w:p>
    <w:p>
      <w:pPr>
        <w:pStyle w:val="165"/>
        <w:bidi w:val="0"/>
        <w:rPr>
          <w:rFonts w:hint="eastAsia"/>
          <w:color w:val="auto"/>
          <w:lang w:val="en-US" w:eastAsia="zh-CN"/>
        </w:rPr>
      </w:pPr>
      <w:r>
        <w:rPr>
          <w:rFonts w:hint="eastAsia"/>
          <w:color w:val="auto"/>
          <w:lang w:val="en-US" w:eastAsia="zh-CN"/>
        </w:rPr>
        <w:t>监控管理服务应符合以下要求：</w:t>
      </w:r>
    </w:p>
    <w:p>
      <w:pPr>
        <w:pStyle w:val="132"/>
        <w:bidi w:val="0"/>
        <w:rPr>
          <w:color w:val="auto"/>
        </w:rPr>
      </w:pPr>
      <w:r>
        <w:rPr>
          <w:color w:val="auto"/>
          <w:lang w:val="en-US" w:eastAsia="zh-CN"/>
        </w:rPr>
        <w:t>应</w:t>
      </w:r>
      <w:r>
        <w:rPr>
          <w:rFonts w:hint="eastAsia"/>
          <w:color w:val="auto"/>
          <w:lang w:val="en-US" w:eastAsia="zh-CN"/>
        </w:rPr>
        <w:t>确保</w:t>
      </w:r>
      <w:r>
        <w:rPr>
          <w:color w:val="auto"/>
          <w:lang w:val="en-US" w:eastAsia="zh-CN"/>
        </w:rPr>
        <w:t>监控室环境符合系统设备运行要求，</w:t>
      </w:r>
      <w:r>
        <w:rPr>
          <w:rFonts w:hint="eastAsia"/>
          <w:color w:val="auto"/>
          <w:lang w:val="en-US" w:eastAsia="zh-CN"/>
        </w:rPr>
        <w:t>并</w:t>
      </w:r>
      <w:r>
        <w:rPr>
          <w:color w:val="auto"/>
          <w:lang w:val="en-US" w:eastAsia="zh-CN"/>
        </w:rPr>
        <w:t xml:space="preserve">定期进行检查和检测； </w:t>
      </w:r>
    </w:p>
    <w:p>
      <w:pPr>
        <w:pStyle w:val="132"/>
        <w:bidi w:val="0"/>
        <w:rPr>
          <w:color w:val="auto"/>
        </w:rPr>
      </w:pPr>
      <w:r>
        <w:rPr>
          <w:rFonts w:hint="default"/>
          <w:color w:val="auto"/>
          <w:lang w:val="en-US" w:eastAsia="zh-CN"/>
        </w:rPr>
        <w:t>监控室</w:t>
      </w:r>
      <w:r>
        <w:rPr>
          <w:rFonts w:hint="eastAsia"/>
          <w:color w:val="auto"/>
          <w:lang w:val="en-US" w:eastAsia="zh-CN"/>
        </w:rPr>
        <w:t>应</w:t>
      </w:r>
      <w:r>
        <w:rPr>
          <w:rFonts w:hint="default"/>
          <w:color w:val="auto"/>
          <w:lang w:val="en-US" w:eastAsia="zh-CN"/>
        </w:rPr>
        <w:t xml:space="preserve">实行专人24小时值班制度； </w:t>
      </w:r>
    </w:p>
    <w:p>
      <w:pPr>
        <w:pStyle w:val="132"/>
        <w:bidi w:val="0"/>
        <w:rPr>
          <w:color w:val="auto"/>
        </w:rPr>
      </w:pPr>
      <w:r>
        <w:rPr>
          <w:rFonts w:hint="eastAsia"/>
          <w:color w:val="auto"/>
          <w:lang w:val="en-US" w:eastAsia="zh-CN"/>
        </w:rPr>
        <w:t>应与</w:t>
      </w:r>
      <w:r>
        <w:rPr>
          <w:rFonts w:hint="default"/>
          <w:color w:val="auto"/>
          <w:lang w:val="en-US" w:eastAsia="zh-CN"/>
        </w:rPr>
        <w:t>物业</w:t>
      </w:r>
      <w:r>
        <w:rPr>
          <w:rFonts w:hint="eastAsia"/>
          <w:color w:val="auto"/>
          <w:lang w:val="en-US" w:eastAsia="zh-CN"/>
        </w:rPr>
        <w:t>使用</w:t>
      </w:r>
      <w:r>
        <w:rPr>
          <w:rFonts w:hint="default"/>
          <w:color w:val="auto"/>
          <w:lang w:val="en-US" w:eastAsia="zh-CN"/>
        </w:rPr>
        <w:t>单位约定监控调阅权限，</w:t>
      </w:r>
      <w:r>
        <w:rPr>
          <w:rFonts w:hint="eastAsia"/>
          <w:color w:val="auto"/>
          <w:lang w:val="en-US" w:eastAsia="zh-CN"/>
        </w:rPr>
        <w:t>非授权人员不应进入监控室或调阅监控记录</w:t>
      </w:r>
      <w:r>
        <w:rPr>
          <w:rFonts w:hint="default"/>
          <w:color w:val="auto"/>
          <w:lang w:val="en-US" w:eastAsia="zh-CN"/>
        </w:rPr>
        <w:t xml:space="preserve">； </w:t>
      </w:r>
    </w:p>
    <w:p>
      <w:pPr>
        <w:pStyle w:val="132"/>
        <w:bidi w:val="0"/>
        <w:rPr>
          <w:color w:val="auto"/>
        </w:rPr>
      </w:pPr>
      <w:r>
        <w:rPr>
          <w:rFonts w:hint="default"/>
          <w:color w:val="auto"/>
          <w:lang w:val="en-US" w:eastAsia="zh-CN"/>
        </w:rPr>
        <w:t xml:space="preserve">值班人员值班期间应遵守操作规程和保密制度； </w:t>
      </w:r>
    </w:p>
    <w:p>
      <w:pPr>
        <w:pStyle w:val="132"/>
        <w:bidi w:val="0"/>
        <w:rPr>
          <w:color w:val="auto"/>
        </w:rPr>
      </w:pPr>
      <w:r>
        <w:rPr>
          <w:rFonts w:hint="default"/>
          <w:color w:val="auto"/>
          <w:lang w:val="en-US" w:eastAsia="zh-CN"/>
        </w:rPr>
        <w:t>监控记录保持完整，保存时间</w:t>
      </w:r>
      <w:r>
        <w:rPr>
          <w:rFonts w:hint="eastAsia"/>
          <w:color w:val="auto"/>
          <w:lang w:val="en-US" w:eastAsia="zh-CN"/>
        </w:rPr>
        <w:t>应符合相关规定</w:t>
      </w:r>
      <w:r>
        <w:rPr>
          <w:rFonts w:hint="default"/>
          <w:color w:val="auto"/>
          <w:lang w:val="en-US" w:eastAsia="zh-CN"/>
        </w:rPr>
        <w:t xml:space="preserve">； </w:t>
      </w:r>
    </w:p>
    <w:p>
      <w:pPr>
        <w:pStyle w:val="132"/>
        <w:bidi w:val="0"/>
        <w:rPr>
          <w:rFonts w:hint="eastAsia"/>
          <w:color w:val="auto"/>
          <w:lang w:val="en-US" w:eastAsia="zh-CN"/>
        </w:rPr>
      </w:pPr>
      <w:r>
        <w:rPr>
          <w:rFonts w:hint="default"/>
          <w:color w:val="auto"/>
          <w:lang w:val="en-US" w:eastAsia="zh-CN"/>
        </w:rPr>
        <w:t>收到火情、险情及其他异常情况报警信号后应以最快方式确认现场情况，配合实施应急管理处置。</w:t>
      </w:r>
    </w:p>
    <w:p>
      <w:pPr>
        <w:pStyle w:val="165"/>
        <w:bidi w:val="0"/>
        <w:rPr>
          <w:rFonts w:hint="default"/>
          <w:color w:val="auto"/>
          <w:lang w:val="en-US" w:eastAsia="zh-CN"/>
        </w:rPr>
      </w:pPr>
      <w:r>
        <w:rPr>
          <w:rFonts w:hint="eastAsia"/>
          <w:color w:val="auto"/>
          <w:lang w:val="en-US" w:eastAsia="zh-CN"/>
        </w:rPr>
        <w:t>巡查应符合以下要求：</w:t>
      </w:r>
    </w:p>
    <w:p>
      <w:pPr>
        <w:pStyle w:val="132"/>
        <w:bidi w:val="0"/>
        <w:rPr>
          <w:rFonts w:hint="default"/>
          <w:color w:val="auto"/>
          <w:lang w:val="en-US" w:eastAsia="zh-CN"/>
        </w:rPr>
      </w:pPr>
      <w:r>
        <w:rPr>
          <w:color w:val="auto"/>
          <w:lang w:val="en-US" w:eastAsia="zh-CN"/>
        </w:rPr>
        <w:t>应根据</w:t>
      </w:r>
      <w:r>
        <w:rPr>
          <w:rFonts w:hint="eastAsia"/>
          <w:color w:val="auto"/>
          <w:lang w:val="en-US" w:eastAsia="zh-CN"/>
        </w:rPr>
        <w:t>服务区域</w:t>
      </w:r>
      <w:r>
        <w:rPr>
          <w:color w:val="auto"/>
          <w:lang w:val="en-US" w:eastAsia="zh-CN"/>
        </w:rPr>
        <w:t>实际情况，制定巡查方案，明确职责和巡查路线，路线设置应无死角、无盲区、无断层，</w:t>
      </w:r>
      <w:r>
        <w:rPr>
          <w:rFonts w:hint="eastAsia"/>
          <w:color w:val="auto"/>
          <w:lang w:val="en-US" w:eastAsia="zh-CN"/>
        </w:rPr>
        <w:t>并</w:t>
      </w:r>
      <w:r>
        <w:rPr>
          <w:color w:val="auto"/>
          <w:lang w:val="en-US" w:eastAsia="zh-CN"/>
        </w:rPr>
        <w:t>定期评估巡查</w:t>
      </w:r>
      <w:r>
        <w:rPr>
          <w:rFonts w:hint="default"/>
          <w:color w:val="auto"/>
          <w:lang w:val="en-US" w:eastAsia="zh-CN"/>
        </w:rPr>
        <w:t>路线有效性。</w:t>
      </w:r>
    </w:p>
    <w:p>
      <w:pPr>
        <w:pStyle w:val="132"/>
        <w:bidi w:val="0"/>
        <w:rPr>
          <w:color w:val="auto"/>
        </w:rPr>
      </w:pPr>
      <w:r>
        <w:rPr>
          <w:rFonts w:hint="eastAsia"/>
          <w:color w:val="auto"/>
          <w:lang w:val="en-US" w:eastAsia="zh-CN"/>
        </w:rPr>
        <w:t>巡查宜使用巡更设备，保持巡更记录。如无巡更设备，宜保持两人一组进行巡查。</w:t>
      </w:r>
    </w:p>
    <w:p>
      <w:pPr>
        <w:pStyle w:val="132"/>
        <w:bidi w:val="0"/>
        <w:rPr>
          <w:rFonts w:hint="eastAsia"/>
          <w:color w:val="auto"/>
          <w:lang w:val="en-US" w:eastAsia="zh-CN"/>
        </w:rPr>
      </w:pPr>
      <w:r>
        <w:rPr>
          <w:rFonts w:hint="eastAsia"/>
          <w:color w:val="auto"/>
          <w:lang w:val="en-US" w:eastAsia="zh-CN"/>
        </w:rPr>
        <w:t>每日应定期巡查不少于3次。巡查期间应重点关注声音、气味、灯光、溢水、门窗、管道、电梯、楼顶、车辆、可疑人员等异常情况，保持通讯设施设备畅通。</w:t>
      </w:r>
    </w:p>
    <w:p>
      <w:pPr>
        <w:pStyle w:val="132"/>
        <w:bidi w:val="0"/>
        <w:rPr>
          <w:color w:val="auto"/>
        </w:rPr>
      </w:pPr>
      <w:r>
        <w:rPr>
          <w:color w:val="auto"/>
          <w:lang w:val="en-US" w:eastAsia="zh-CN"/>
        </w:rPr>
        <w:t>巡查过程</w:t>
      </w:r>
      <w:r>
        <w:rPr>
          <w:rFonts w:hint="eastAsia"/>
          <w:color w:val="auto"/>
          <w:lang w:val="en-US" w:eastAsia="zh-CN"/>
        </w:rPr>
        <w:t>应</w:t>
      </w:r>
      <w:r>
        <w:rPr>
          <w:color w:val="auto"/>
          <w:lang w:val="en-US" w:eastAsia="zh-CN"/>
        </w:rPr>
        <w:t>和监控室实行联动，收到监控室发出的指令后，巡查人员应及时到达现场</w:t>
      </w:r>
      <w:r>
        <w:rPr>
          <w:rFonts w:hint="eastAsia"/>
          <w:color w:val="auto"/>
          <w:lang w:val="en-US" w:eastAsia="zh-CN"/>
        </w:rPr>
        <w:t>。</w:t>
      </w:r>
    </w:p>
    <w:p>
      <w:pPr>
        <w:pStyle w:val="132"/>
        <w:bidi w:val="0"/>
        <w:rPr>
          <w:color w:val="auto"/>
        </w:rPr>
      </w:pPr>
      <w:r>
        <w:rPr>
          <w:rFonts w:hint="eastAsia"/>
          <w:color w:val="auto"/>
          <w:lang w:val="en-US" w:eastAsia="zh-CN"/>
        </w:rPr>
        <w:t>巡查中发现异常情况，应立即查明并上报物业使用单位，并现场对紧急情况采取必要的处理措施，发现有可疑人员应前往盘问，检查证件。</w:t>
      </w:r>
    </w:p>
    <w:p>
      <w:pPr>
        <w:pStyle w:val="132"/>
        <w:bidi w:val="0"/>
        <w:rPr>
          <w:rFonts w:hint="default"/>
          <w:color w:val="auto"/>
          <w:lang w:val="en-US" w:eastAsia="zh-CN"/>
        </w:rPr>
      </w:pPr>
      <w:r>
        <w:rPr>
          <w:rFonts w:hint="eastAsia"/>
          <w:color w:val="auto"/>
          <w:lang w:val="en-US" w:eastAsia="zh-CN"/>
        </w:rPr>
        <w:t>应做好巡查记录。</w:t>
      </w:r>
    </w:p>
    <w:p>
      <w:pPr>
        <w:pStyle w:val="165"/>
        <w:bidi w:val="0"/>
        <w:rPr>
          <w:rFonts w:hint="default"/>
          <w:color w:val="auto"/>
          <w:lang w:val="en-US" w:eastAsia="zh-CN"/>
        </w:rPr>
      </w:pPr>
      <w:r>
        <w:rPr>
          <w:rFonts w:hint="eastAsia"/>
          <w:color w:val="auto"/>
          <w:lang w:val="en-US" w:eastAsia="zh-CN"/>
        </w:rPr>
        <w:t>重大活动保障服务应符合以下要求：</w:t>
      </w:r>
    </w:p>
    <w:p>
      <w:pPr>
        <w:pStyle w:val="132"/>
        <w:bidi w:val="0"/>
        <w:rPr>
          <w:rFonts w:hint="default"/>
          <w:color w:val="auto"/>
          <w:lang w:val="en-US" w:eastAsia="zh-CN"/>
        </w:rPr>
      </w:pPr>
      <w:r>
        <w:rPr>
          <w:color w:val="auto"/>
          <w:lang w:val="en-US" w:eastAsia="zh-CN"/>
        </w:rPr>
        <w:t>重大活动开始前，应</w:t>
      </w:r>
      <w:r>
        <w:rPr>
          <w:rFonts w:hint="eastAsia"/>
          <w:color w:val="auto"/>
          <w:lang w:val="en-US" w:eastAsia="zh-CN"/>
        </w:rPr>
        <w:t>根据物业使用单位要求</w:t>
      </w:r>
      <w:r>
        <w:rPr>
          <w:color w:val="auto"/>
          <w:lang w:val="en-US" w:eastAsia="zh-CN"/>
        </w:rPr>
        <w:t>制定相应的活动安保方案和突发事件处理预案，</w:t>
      </w:r>
      <w:r>
        <w:rPr>
          <w:rFonts w:hint="eastAsia"/>
          <w:color w:val="auto"/>
          <w:lang w:val="en-US" w:eastAsia="zh-CN"/>
        </w:rPr>
        <w:t>配合相关部门</w:t>
      </w:r>
      <w:r>
        <w:rPr>
          <w:color w:val="auto"/>
          <w:lang w:val="en-US" w:eastAsia="zh-CN"/>
        </w:rPr>
        <w:t>对活动场所安全隐患进行</w:t>
      </w:r>
      <w:r>
        <w:rPr>
          <w:rFonts w:hint="default"/>
          <w:color w:val="auto"/>
          <w:lang w:val="en-US" w:eastAsia="zh-CN"/>
        </w:rPr>
        <w:t>排查。</w:t>
      </w:r>
    </w:p>
    <w:p>
      <w:pPr>
        <w:pStyle w:val="132"/>
        <w:bidi w:val="0"/>
        <w:rPr>
          <w:color w:val="auto"/>
        </w:rPr>
      </w:pPr>
      <w:r>
        <w:rPr>
          <w:rFonts w:hint="default"/>
          <w:color w:val="auto"/>
          <w:lang w:val="en-US" w:eastAsia="zh-CN"/>
        </w:rPr>
        <w:t>应提前</w:t>
      </w:r>
      <w:r>
        <w:rPr>
          <w:rFonts w:hint="eastAsia"/>
          <w:color w:val="auto"/>
          <w:lang w:val="en-US" w:eastAsia="zh-CN"/>
        </w:rPr>
        <w:t>管理</w:t>
      </w:r>
      <w:r>
        <w:rPr>
          <w:rFonts w:hint="default"/>
          <w:color w:val="auto"/>
          <w:lang w:val="en-US" w:eastAsia="zh-CN"/>
        </w:rPr>
        <w:t xml:space="preserve">停车位，做好停车场车位牌等标识信息。 </w:t>
      </w:r>
    </w:p>
    <w:p>
      <w:pPr>
        <w:pStyle w:val="132"/>
        <w:bidi w:val="0"/>
        <w:rPr>
          <w:color w:val="auto"/>
        </w:rPr>
      </w:pPr>
      <w:r>
        <w:rPr>
          <w:rFonts w:hint="default"/>
          <w:color w:val="auto"/>
          <w:lang w:val="en-US" w:eastAsia="zh-CN"/>
        </w:rPr>
        <w:t>活动举办过程中，应做好交通疏导、现场治安秩序维护和突发事故的处置工作。</w:t>
      </w:r>
    </w:p>
    <w:p>
      <w:pPr>
        <w:pStyle w:val="105"/>
        <w:bidi w:val="0"/>
        <w:rPr>
          <w:rFonts w:hint="eastAsia"/>
          <w:color w:val="auto"/>
          <w:lang w:val="en-US" w:eastAsia="zh-CN"/>
        </w:rPr>
      </w:pPr>
      <w:bookmarkStart w:id="60" w:name="_Toc17523"/>
      <w:r>
        <w:rPr>
          <w:rFonts w:hint="eastAsia"/>
          <w:color w:val="auto"/>
          <w:lang w:val="en-US" w:eastAsia="zh-CN"/>
        </w:rPr>
        <w:t>会务服务</w:t>
      </w:r>
      <w:bookmarkEnd w:id="60"/>
    </w:p>
    <w:p>
      <w:pPr>
        <w:pStyle w:val="165"/>
        <w:bidi w:val="0"/>
        <w:rPr>
          <w:color w:val="auto"/>
        </w:rPr>
      </w:pPr>
      <w:r>
        <w:rPr>
          <w:rFonts w:hint="eastAsia"/>
          <w:color w:val="auto"/>
          <w:lang w:val="en-US" w:eastAsia="zh-CN"/>
        </w:rPr>
        <w:t>会务服务应符合</w:t>
      </w:r>
      <w:r>
        <w:rPr>
          <w:rFonts w:hint="eastAsia" w:ascii="Times New Roman" w:hAnsi="Times New Roman" w:eastAsia="宋体" w:cs="Times New Roman"/>
          <w:color w:val="auto"/>
          <w:kern w:val="0"/>
          <w:sz w:val="21"/>
          <w:szCs w:val="20"/>
          <w:lang w:val="en-US" w:eastAsia="zh-CN" w:bidi="ar-SA"/>
        </w:rPr>
        <w:t>DB43/T</w:t>
      </w:r>
      <w:r>
        <w:rPr>
          <w:rFonts w:hint="eastAsia" w:ascii="Times New Roman" w:hAnsi="Times New Roman" w:cs="Times New Roman"/>
          <w:color w:val="auto"/>
          <w:kern w:val="0"/>
          <w:sz w:val="21"/>
          <w:szCs w:val="20"/>
          <w:lang w:val="en-US" w:eastAsia="zh-CN" w:bidi="ar-SA"/>
        </w:rPr>
        <w:t xml:space="preserve"> </w:t>
      </w:r>
      <w:r>
        <w:rPr>
          <w:rFonts w:hint="eastAsia" w:ascii="Times New Roman" w:hAnsi="Times New Roman" w:eastAsia="宋体" w:cs="Times New Roman"/>
          <w:color w:val="auto"/>
          <w:kern w:val="0"/>
          <w:sz w:val="21"/>
          <w:szCs w:val="20"/>
          <w:lang w:val="en-US" w:eastAsia="zh-CN" w:bidi="ar-SA"/>
        </w:rPr>
        <w:t>2885</w:t>
      </w:r>
      <w:r>
        <w:rPr>
          <w:rFonts w:hint="eastAsia" w:ascii="Times New Roman" w:cs="Times New Roman"/>
          <w:color w:val="auto"/>
          <w:kern w:val="0"/>
          <w:sz w:val="21"/>
          <w:szCs w:val="20"/>
          <w:lang w:val="en-US" w:eastAsia="zh-CN" w:bidi="ar-SA"/>
        </w:rPr>
        <w:t>的规定。</w:t>
      </w:r>
      <w:r>
        <w:rPr>
          <w:rFonts w:hint="eastAsia"/>
          <w:color w:val="auto"/>
          <w:lang w:val="en-US" w:eastAsia="zh-CN"/>
        </w:rPr>
        <w:t>应制定会务服务制度，为不同类型会议提供分级服务，并</w:t>
      </w:r>
      <w:r>
        <w:rPr>
          <w:rFonts w:hint="default"/>
          <w:color w:val="auto"/>
          <w:lang w:val="en-US" w:eastAsia="zh-CN"/>
        </w:rPr>
        <w:t>策划好突发事件应急预案</w:t>
      </w:r>
      <w:r>
        <w:rPr>
          <w:rFonts w:hint="eastAsia"/>
          <w:color w:val="auto"/>
          <w:lang w:val="en-US" w:eastAsia="zh-CN"/>
        </w:rPr>
        <w:t>。</w:t>
      </w:r>
    </w:p>
    <w:p>
      <w:pPr>
        <w:pStyle w:val="165"/>
        <w:bidi w:val="0"/>
        <w:rPr>
          <w:color w:val="auto"/>
        </w:rPr>
      </w:pPr>
      <w:r>
        <w:rPr>
          <w:rFonts w:hint="default"/>
          <w:color w:val="auto"/>
          <w:lang w:val="en-US" w:eastAsia="zh-CN"/>
        </w:rPr>
        <w:t xml:space="preserve">服务人员仪容仪表应自然得体、庄重大方；着装配饰款式统一；站姿、坐姿、行姿、引导等应 </w:t>
      </w:r>
    </w:p>
    <w:p>
      <w:pPr>
        <w:pStyle w:val="165"/>
        <w:numPr>
          <w:ilvl w:val="3"/>
          <w:numId w:val="0"/>
        </w:numPr>
        <w:bidi w:val="0"/>
        <w:ind w:leftChars="0"/>
        <w:rPr>
          <w:color w:val="auto"/>
        </w:rPr>
      </w:pPr>
      <w:r>
        <w:rPr>
          <w:rFonts w:hint="default"/>
          <w:color w:val="auto"/>
          <w:lang w:val="en-US" w:eastAsia="zh-CN"/>
        </w:rPr>
        <w:t xml:space="preserve">符合要求，且使用规范服务用语。 </w:t>
      </w:r>
    </w:p>
    <w:p>
      <w:pPr>
        <w:pStyle w:val="165"/>
        <w:bidi w:val="0"/>
        <w:rPr>
          <w:color w:val="auto"/>
        </w:rPr>
      </w:pPr>
      <w:r>
        <w:rPr>
          <w:color w:val="auto"/>
          <w:lang w:val="en-US" w:eastAsia="zh-CN"/>
        </w:rPr>
        <w:t>服务人员应遵守会议室管理制度，明确岗位职责，涉密会</w:t>
      </w:r>
      <w:r>
        <w:rPr>
          <w:rFonts w:hint="default"/>
          <w:color w:val="auto"/>
          <w:lang w:val="en-US" w:eastAsia="zh-CN"/>
        </w:rPr>
        <w:t xml:space="preserve">议环境应符合保密安全要求，服务人员应遵守保密规定。 </w:t>
      </w:r>
    </w:p>
    <w:p>
      <w:pPr>
        <w:pStyle w:val="165"/>
        <w:bidi w:val="0"/>
        <w:rPr>
          <w:color w:val="auto"/>
        </w:rPr>
      </w:pPr>
      <w:r>
        <w:rPr>
          <w:rFonts w:hint="default"/>
          <w:color w:val="auto"/>
          <w:lang w:val="en-US" w:eastAsia="zh-CN"/>
        </w:rPr>
        <w:t>会前应做好设施设备的检查</w:t>
      </w:r>
      <w:r>
        <w:rPr>
          <w:rFonts w:hint="eastAsia"/>
          <w:color w:val="auto"/>
          <w:lang w:val="en-US" w:eastAsia="zh-CN"/>
        </w:rPr>
        <w:t>、</w:t>
      </w:r>
      <w:r>
        <w:rPr>
          <w:rFonts w:hint="default"/>
          <w:color w:val="auto"/>
          <w:lang w:val="en-US" w:eastAsia="zh-CN"/>
        </w:rPr>
        <w:t>调试</w:t>
      </w:r>
      <w:r>
        <w:rPr>
          <w:rFonts w:hint="eastAsia"/>
          <w:color w:val="auto"/>
          <w:lang w:val="en-US" w:eastAsia="zh-CN"/>
        </w:rPr>
        <w:t>工作</w:t>
      </w:r>
      <w:r>
        <w:rPr>
          <w:rFonts w:hint="default"/>
          <w:color w:val="auto"/>
          <w:lang w:val="en-US" w:eastAsia="zh-CN"/>
        </w:rPr>
        <w:t>，确保投影、音响、</w:t>
      </w:r>
      <w:r>
        <w:rPr>
          <w:rFonts w:hint="eastAsia"/>
          <w:color w:val="auto"/>
          <w:lang w:val="en-US" w:eastAsia="zh-CN"/>
        </w:rPr>
        <w:t>话筒、</w:t>
      </w:r>
      <w:r>
        <w:rPr>
          <w:rFonts w:hint="default"/>
          <w:color w:val="auto"/>
          <w:lang w:val="en-US" w:eastAsia="zh-CN"/>
        </w:rPr>
        <w:t xml:space="preserve">电脑等设备能正常使用。 </w:t>
      </w:r>
    </w:p>
    <w:p>
      <w:pPr>
        <w:pStyle w:val="165"/>
        <w:bidi w:val="0"/>
        <w:rPr>
          <w:color w:val="auto"/>
        </w:rPr>
      </w:pPr>
      <w:r>
        <w:rPr>
          <w:rFonts w:hint="default"/>
          <w:color w:val="auto"/>
          <w:lang w:val="en-US" w:eastAsia="zh-CN"/>
        </w:rPr>
        <w:t>会后</w:t>
      </w:r>
      <w:r>
        <w:rPr>
          <w:rFonts w:hint="eastAsia"/>
          <w:color w:val="auto"/>
          <w:lang w:val="en-US" w:eastAsia="zh-CN"/>
        </w:rPr>
        <w:t>应</w:t>
      </w:r>
      <w:r>
        <w:rPr>
          <w:rFonts w:hint="default"/>
          <w:color w:val="auto"/>
          <w:lang w:val="en-US" w:eastAsia="zh-CN"/>
        </w:rPr>
        <w:t>检查有无遗留物品，关闭会议设备，并按要求将会议使用的物品集中收集、归还，</w:t>
      </w:r>
      <w:r>
        <w:rPr>
          <w:rFonts w:hint="eastAsia"/>
          <w:color w:val="auto"/>
          <w:lang w:val="en-US" w:eastAsia="zh-CN"/>
        </w:rPr>
        <w:t>对</w:t>
      </w:r>
      <w:r>
        <w:rPr>
          <w:rFonts w:hint="default"/>
          <w:color w:val="auto"/>
          <w:lang w:val="en-US" w:eastAsia="zh-CN"/>
        </w:rPr>
        <w:t xml:space="preserve">会议资料做好处理。 </w:t>
      </w:r>
    </w:p>
    <w:p>
      <w:pPr>
        <w:pStyle w:val="165"/>
        <w:bidi w:val="0"/>
        <w:rPr>
          <w:rFonts w:hint="eastAsia"/>
          <w:color w:val="auto"/>
          <w:lang w:val="en-US" w:eastAsia="zh-CN"/>
        </w:rPr>
      </w:pPr>
      <w:r>
        <w:rPr>
          <w:rFonts w:hint="eastAsia"/>
          <w:color w:val="auto"/>
          <w:lang w:val="en-US" w:eastAsia="zh-CN"/>
        </w:rPr>
        <w:t>应做好</w:t>
      </w:r>
      <w:r>
        <w:rPr>
          <w:rFonts w:hint="default"/>
          <w:color w:val="auto"/>
          <w:lang w:val="en-US" w:eastAsia="zh-CN"/>
        </w:rPr>
        <w:t>会议服务记录。</w:t>
      </w:r>
    </w:p>
    <w:p>
      <w:pPr>
        <w:pStyle w:val="105"/>
        <w:bidi w:val="0"/>
        <w:rPr>
          <w:rFonts w:hint="eastAsia"/>
          <w:color w:val="auto"/>
          <w:lang w:val="en-US" w:eastAsia="zh-CN"/>
        </w:rPr>
      </w:pPr>
      <w:bookmarkStart w:id="61" w:name="_Toc3844"/>
      <w:r>
        <w:rPr>
          <w:rFonts w:hint="eastAsia"/>
          <w:color w:val="auto"/>
          <w:lang w:val="en-US" w:eastAsia="zh-CN"/>
        </w:rPr>
        <w:t>设施设备运行维护管理服务</w:t>
      </w:r>
      <w:bookmarkEnd w:id="61"/>
      <w:r>
        <w:rPr>
          <w:rFonts w:hint="eastAsia"/>
          <w:color w:val="auto"/>
          <w:lang w:val="en-US" w:eastAsia="zh-CN"/>
        </w:rPr>
        <w:t xml:space="preserve">    </w:t>
      </w:r>
    </w:p>
    <w:p>
      <w:pPr>
        <w:pStyle w:val="165"/>
        <w:bidi w:val="0"/>
        <w:rPr>
          <w:color w:val="auto"/>
        </w:rPr>
      </w:pPr>
      <w:r>
        <w:rPr>
          <w:color w:val="auto"/>
          <w:lang w:val="en-US" w:eastAsia="zh-CN"/>
        </w:rPr>
        <w:t>应建立设施设备台账并定期更新，</w:t>
      </w:r>
      <w:r>
        <w:rPr>
          <w:rFonts w:hint="eastAsia"/>
          <w:color w:val="auto"/>
          <w:lang w:val="en-US" w:eastAsia="zh-CN"/>
        </w:rPr>
        <w:t>并</w:t>
      </w:r>
      <w:r>
        <w:rPr>
          <w:color w:val="auto"/>
          <w:lang w:val="en-US" w:eastAsia="zh-CN"/>
        </w:rPr>
        <w:t>根据设施设备的运行状况制定年度维护保养计划。</w:t>
      </w:r>
    </w:p>
    <w:p>
      <w:pPr>
        <w:pStyle w:val="165"/>
        <w:bidi w:val="0"/>
        <w:rPr>
          <w:color w:val="auto"/>
        </w:rPr>
      </w:pPr>
      <w:r>
        <w:rPr>
          <w:rFonts w:hint="eastAsia"/>
          <w:color w:val="auto"/>
          <w:lang w:val="en-US" w:eastAsia="zh-CN"/>
        </w:rPr>
        <w:t>应要求并确保服务人员熟练掌握设施设备运行和维护要求，制定相应的运行和维护准则。</w:t>
      </w:r>
      <w:r>
        <w:rPr>
          <w:color w:val="auto"/>
          <w:lang w:val="en-US" w:eastAsia="zh-CN"/>
        </w:rPr>
        <w:t xml:space="preserve"> </w:t>
      </w:r>
    </w:p>
    <w:p>
      <w:pPr>
        <w:pStyle w:val="165"/>
        <w:bidi w:val="0"/>
        <w:rPr>
          <w:color w:val="auto"/>
        </w:rPr>
      </w:pPr>
      <w:r>
        <w:rPr>
          <w:rFonts w:hint="eastAsia"/>
          <w:color w:val="auto"/>
          <w:lang w:val="en-US" w:eastAsia="zh-CN"/>
        </w:rPr>
        <w:t>应</w:t>
      </w:r>
      <w:r>
        <w:rPr>
          <w:rFonts w:hint="default"/>
          <w:color w:val="auto"/>
          <w:lang w:val="en-US" w:eastAsia="zh-CN"/>
        </w:rPr>
        <w:t>定期对现场危险源和环境因素进行风险识别与管理，针对潜在风险制定相适应的预防措施和应急预案。</w:t>
      </w:r>
    </w:p>
    <w:p>
      <w:pPr>
        <w:pStyle w:val="165"/>
        <w:bidi w:val="0"/>
        <w:rPr>
          <w:color w:val="auto"/>
        </w:rPr>
      </w:pPr>
      <w:r>
        <w:rPr>
          <w:color w:val="auto"/>
          <w:lang w:val="en-US" w:eastAsia="zh-CN"/>
        </w:rPr>
        <w:t>对</w:t>
      </w:r>
      <w:r>
        <w:rPr>
          <w:color w:val="auto"/>
          <w:highlight w:val="none"/>
          <w:lang w:val="en-US" w:eastAsia="zh-CN"/>
        </w:rPr>
        <w:t>房屋结构、建筑部件</w:t>
      </w:r>
      <w:r>
        <w:rPr>
          <w:color w:val="auto"/>
          <w:lang w:val="en-US" w:eastAsia="zh-CN"/>
        </w:rPr>
        <w:t>、附属建筑物、标识标牌等的巡查及养护维修要求应符合 GB/T 43542 的规</w:t>
      </w:r>
      <w:r>
        <w:rPr>
          <w:rFonts w:hint="default"/>
          <w:color w:val="auto"/>
          <w:lang w:val="en-US" w:eastAsia="zh-CN"/>
        </w:rPr>
        <w:t xml:space="preserve">定。 </w:t>
      </w:r>
    </w:p>
    <w:p>
      <w:pPr>
        <w:pStyle w:val="165"/>
        <w:bidi w:val="0"/>
        <w:rPr>
          <w:color w:val="auto"/>
        </w:rPr>
      </w:pPr>
      <w:r>
        <w:rPr>
          <w:rFonts w:hint="default"/>
          <w:color w:val="auto"/>
          <w:lang w:val="en-US" w:eastAsia="zh-CN"/>
        </w:rPr>
        <w:t>应</w:t>
      </w:r>
      <w:r>
        <w:rPr>
          <w:rFonts w:hint="eastAsia"/>
          <w:color w:val="auto"/>
          <w:lang w:val="en-US" w:eastAsia="zh-CN"/>
        </w:rPr>
        <w:t>对设施设备进行</w:t>
      </w:r>
      <w:r>
        <w:rPr>
          <w:rFonts w:hint="default"/>
          <w:color w:val="auto"/>
          <w:lang w:val="en-US" w:eastAsia="zh-CN"/>
        </w:rPr>
        <w:t>定期巡查，设定巡查范围、巡查周期、巡查内容和巡查标准，按要求如实记录设施设备运行参数及运行状况，发现问题及时向物业管理或使用单位报告</w:t>
      </w:r>
      <w:r>
        <w:rPr>
          <w:rFonts w:hint="eastAsia"/>
          <w:color w:val="auto"/>
          <w:lang w:val="en-US" w:eastAsia="zh-CN"/>
        </w:rPr>
        <w:t>。设施设备巡查</w:t>
      </w:r>
      <w:r>
        <w:rPr>
          <w:rFonts w:hint="default"/>
          <w:color w:val="auto"/>
          <w:lang w:val="en-US" w:eastAsia="zh-CN"/>
        </w:rPr>
        <w:t>宜应用现场可视化管理技术。</w:t>
      </w:r>
    </w:p>
    <w:p>
      <w:pPr>
        <w:pStyle w:val="165"/>
        <w:bidi w:val="0"/>
        <w:rPr>
          <w:color w:val="auto"/>
        </w:rPr>
      </w:pPr>
      <w:r>
        <w:rPr>
          <w:rFonts w:hint="eastAsia"/>
          <w:color w:val="auto"/>
          <w:lang w:val="en-US" w:eastAsia="zh-CN"/>
        </w:rPr>
        <w:t>应建立维修、巡查和前台接待三方联动制度，发现或接收到设施设备故障信息，及时进行处置</w:t>
      </w:r>
      <w:r>
        <w:rPr>
          <w:rFonts w:hint="default"/>
          <w:color w:val="auto"/>
          <w:lang w:val="en-US" w:eastAsia="zh-CN"/>
        </w:rPr>
        <w:t xml:space="preserve">。 </w:t>
      </w:r>
    </w:p>
    <w:p>
      <w:pPr>
        <w:pStyle w:val="165"/>
        <w:numPr>
          <w:ilvl w:val="3"/>
          <w:numId w:val="0"/>
        </w:numPr>
        <w:bidi w:val="0"/>
        <w:ind w:leftChars="0"/>
        <w:rPr>
          <w:color w:val="auto"/>
        </w:rPr>
      </w:pPr>
      <w:r>
        <w:rPr>
          <w:rFonts w:hint="default"/>
          <w:color w:val="auto"/>
          <w:lang w:val="en-US" w:eastAsia="zh-CN"/>
        </w:rPr>
        <w:t>涉及第三方的维修，</w:t>
      </w:r>
      <w:r>
        <w:rPr>
          <w:rFonts w:hint="eastAsia"/>
          <w:color w:val="auto"/>
          <w:lang w:val="en-US" w:eastAsia="zh-CN"/>
        </w:rPr>
        <w:t>应</w:t>
      </w:r>
      <w:r>
        <w:rPr>
          <w:rFonts w:hint="default"/>
          <w:color w:val="auto"/>
          <w:lang w:val="en-US" w:eastAsia="zh-CN"/>
        </w:rPr>
        <w:t>做好现场监管</w:t>
      </w:r>
      <w:r>
        <w:rPr>
          <w:rFonts w:hint="eastAsia"/>
          <w:color w:val="auto"/>
          <w:lang w:val="en-US" w:eastAsia="zh-CN"/>
        </w:rPr>
        <w:t>并有相关记录</w:t>
      </w:r>
      <w:r>
        <w:rPr>
          <w:rFonts w:hint="default"/>
          <w:color w:val="auto"/>
          <w:lang w:val="en-US" w:eastAsia="zh-CN"/>
        </w:rPr>
        <w:t xml:space="preserve">。 </w:t>
      </w:r>
    </w:p>
    <w:p>
      <w:pPr>
        <w:pStyle w:val="105"/>
        <w:bidi w:val="0"/>
        <w:rPr>
          <w:rFonts w:hint="eastAsia"/>
          <w:color w:val="auto"/>
          <w:lang w:val="en-US" w:eastAsia="zh-CN"/>
        </w:rPr>
      </w:pPr>
      <w:bookmarkStart w:id="62" w:name="_Toc32309"/>
      <w:r>
        <w:rPr>
          <w:rFonts w:hint="eastAsia"/>
          <w:color w:val="auto"/>
          <w:lang w:val="en-US" w:eastAsia="zh-CN"/>
        </w:rPr>
        <w:t>保洁服务</w:t>
      </w:r>
      <w:bookmarkEnd w:id="62"/>
    </w:p>
    <w:p>
      <w:pPr>
        <w:pStyle w:val="165"/>
        <w:bidi w:val="0"/>
        <w:rPr>
          <w:rFonts w:hint="eastAsia"/>
          <w:color w:val="auto"/>
          <w:lang w:val="en-US" w:eastAsia="zh-CN"/>
        </w:rPr>
      </w:pPr>
      <w:r>
        <w:rPr>
          <w:rFonts w:hint="eastAsia"/>
          <w:color w:val="auto"/>
          <w:lang w:val="en-US" w:eastAsia="zh-CN"/>
        </w:rPr>
        <w:t>室外区域保洁服务应符合以下要求：</w:t>
      </w:r>
    </w:p>
    <w:p>
      <w:pPr>
        <w:pStyle w:val="132"/>
        <w:bidi w:val="0"/>
        <w:rPr>
          <w:rFonts w:hint="eastAsia"/>
          <w:color w:val="auto"/>
          <w:lang w:val="en-US" w:eastAsia="zh-CN"/>
        </w:rPr>
      </w:pPr>
      <w:r>
        <w:rPr>
          <w:rFonts w:hint="eastAsia"/>
          <w:color w:val="auto"/>
          <w:lang w:val="en-US" w:eastAsia="zh-CN"/>
        </w:rPr>
        <w:t>定期对室外公共场地、水景、绿化景观区域进行清洁。</w:t>
      </w:r>
    </w:p>
    <w:p>
      <w:pPr>
        <w:pStyle w:val="132"/>
        <w:bidi w:val="0"/>
        <w:rPr>
          <w:rFonts w:hint="eastAsia"/>
          <w:color w:val="auto"/>
          <w:lang w:val="en-US" w:eastAsia="zh-CN"/>
        </w:rPr>
      </w:pPr>
      <w:r>
        <w:rPr>
          <w:rFonts w:hint="eastAsia"/>
          <w:color w:val="auto"/>
          <w:lang w:val="en-US" w:eastAsia="zh-CN"/>
        </w:rPr>
        <w:t>定期对楼内公共区域、设备设施进行清洁。</w:t>
      </w:r>
    </w:p>
    <w:p>
      <w:pPr>
        <w:pStyle w:val="165"/>
        <w:bidi w:val="0"/>
        <w:rPr>
          <w:rFonts w:hint="default"/>
          <w:color w:val="auto"/>
          <w:lang w:val="en-US" w:eastAsia="zh-CN"/>
        </w:rPr>
      </w:pPr>
      <w:r>
        <w:rPr>
          <w:rFonts w:hint="eastAsia"/>
          <w:color w:val="auto"/>
          <w:lang w:val="en-US" w:eastAsia="zh-CN"/>
        </w:rPr>
        <w:t>室内区域保洁服务应符合以下要求：</w:t>
      </w:r>
    </w:p>
    <w:p>
      <w:pPr>
        <w:pStyle w:val="132"/>
        <w:bidi w:val="0"/>
        <w:rPr>
          <w:rFonts w:hint="default"/>
          <w:color w:val="auto"/>
          <w:lang w:val="en-US" w:eastAsia="zh-CN"/>
        </w:rPr>
      </w:pPr>
      <w:r>
        <w:rPr>
          <w:rFonts w:hint="eastAsia"/>
          <w:color w:val="auto"/>
          <w:lang w:val="en-US" w:eastAsia="zh-CN"/>
        </w:rPr>
        <w:t>定期对办公室、会议室、会客室等室内进行</w:t>
      </w:r>
      <w:r>
        <w:rPr>
          <w:rFonts w:hint="default"/>
          <w:color w:val="auto"/>
          <w:lang w:val="en-US" w:eastAsia="zh-CN"/>
        </w:rPr>
        <w:t>保洁</w:t>
      </w:r>
      <w:r>
        <w:rPr>
          <w:rFonts w:hint="eastAsia"/>
          <w:color w:val="auto"/>
          <w:lang w:val="en-US" w:eastAsia="zh-CN"/>
        </w:rPr>
        <w:t>。</w:t>
      </w:r>
    </w:p>
    <w:p>
      <w:pPr>
        <w:pStyle w:val="132"/>
        <w:bidi w:val="0"/>
        <w:rPr>
          <w:rFonts w:hint="default"/>
          <w:color w:val="auto"/>
          <w:lang w:val="en-US" w:eastAsia="zh-CN"/>
        </w:rPr>
      </w:pPr>
      <w:r>
        <w:rPr>
          <w:rFonts w:hint="eastAsia"/>
          <w:color w:val="auto"/>
          <w:lang w:val="en-US" w:eastAsia="zh-CN"/>
        </w:rPr>
        <w:t>室内保洁时，</w:t>
      </w:r>
      <w:r>
        <w:rPr>
          <w:rFonts w:hint="default"/>
          <w:color w:val="auto"/>
          <w:lang w:val="en-US" w:eastAsia="zh-CN"/>
        </w:rPr>
        <w:t xml:space="preserve">保持桌面材料及室内设施原状。 </w:t>
      </w:r>
    </w:p>
    <w:p>
      <w:pPr>
        <w:pStyle w:val="132"/>
        <w:bidi w:val="0"/>
        <w:rPr>
          <w:rFonts w:hint="eastAsia"/>
          <w:color w:val="auto"/>
          <w:highlight w:val="none"/>
          <w:lang w:val="en-US" w:eastAsia="zh-CN"/>
        </w:rPr>
      </w:pPr>
      <w:r>
        <w:rPr>
          <w:rFonts w:hint="eastAsia"/>
          <w:color w:val="auto"/>
          <w:highlight w:val="none"/>
          <w:lang w:val="en-US" w:eastAsia="zh-CN"/>
        </w:rPr>
        <w:t>对重要办公室和会议室的保洁服务，保持人员固定。涉及保密要求的，应双人入室。</w:t>
      </w:r>
    </w:p>
    <w:p>
      <w:pPr>
        <w:pStyle w:val="132"/>
        <w:bidi w:val="0"/>
        <w:rPr>
          <w:rFonts w:hint="eastAsia"/>
          <w:color w:val="auto"/>
          <w:lang w:val="en-US" w:eastAsia="zh-CN"/>
        </w:rPr>
      </w:pPr>
      <w:r>
        <w:rPr>
          <w:rFonts w:hint="default"/>
          <w:color w:val="auto"/>
          <w:lang w:val="en-US" w:eastAsia="zh-CN"/>
        </w:rPr>
        <w:t>除日常保洁外，其他时间内不应擅自进入重要办公室，不</w:t>
      </w:r>
      <w:r>
        <w:rPr>
          <w:rFonts w:hint="eastAsia"/>
          <w:color w:val="auto"/>
          <w:lang w:val="en-US" w:eastAsia="zh-CN"/>
        </w:rPr>
        <w:t>应</w:t>
      </w:r>
      <w:r>
        <w:rPr>
          <w:rFonts w:hint="default"/>
          <w:color w:val="auto"/>
          <w:lang w:val="en-US" w:eastAsia="zh-CN"/>
        </w:rPr>
        <w:t xml:space="preserve">私自向重要办公室传递、摆放外来文件、资料等。 </w:t>
      </w:r>
    </w:p>
    <w:p>
      <w:pPr>
        <w:pStyle w:val="132"/>
        <w:bidi w:val="0"/>
        <w:rPr>
          <w:rFonts w:hint="eastAsia"/>
          <w:color w:val="auto"/>
          <w:lang w:val="en-US" w:eastAsia="zh-CN"/>
        </w:rPr>
      </w:pPr>
      <w:r>
        <w:rPr>
          <w:rFonts w:hint="default"/>
          <w:color w:val="auto"/>
          <w:lang w:val="en-US" w:eastAsia="zh-CN"/>
        </w:rPr>
        <w:t xml:space="preserve"> 保洁过程中，注意检查</w:t>
      </w:r>
      <w:r>
        <w:rPr>
          <w:rFonts w:hint="eastAsia"/>
          <w:color w:val="auto"/>
          <w:lang w:val="en-US" w:eastAsia="zh-CN"/>
        </w:rPr>
        <w:t>现场</w:t>
      </w:r>
      <w:r>
        <w:rPr>
          <w:rFonts w:hint="default"/>
          <w:color w:val="auto"/>
          <w:lang w:val="en-US" w:eastAsia="zh-CN"/>
        </w:rPr>
        <w:t>安全情况，发现异常情况应及时汇报，发现设施设备破损应及时报修。</w:t>
      </w:r>
    </w:p>
    <w:p>
      <w:pPr>
        <w:pStyle w:val="165"/>
        <w:bidi w:val="0"/>
        <w:rPr>
          <w:rFonts w:hint="default"/>
          <w:color w:val="auto"/>
          <w:lang w:val="en-US"/>
        </w:rPr>
      </w:pPr>
      <w:r>
        <w:rPr>
          <w:color w:val="auto"/>
          <w:lang w:val="en-US" w:eastAsia="zh-CN"/>
        </w:rPr>
        <w:t>卫生消杀</w:t>
      </w:r>
      <w:r>
        <w:rPr>
          <w:rFonts w:hint="eastAsia"/>
          <w:color w:val="auto"/>
          <w:lang w:val="en-US" w:eastAsia="zh-CN"/>
        </w:rPr>
        <w:t>应符合以下要求：</w:t>
      </w:r>
    </w:p>
    <w:p>
      <w:pPr>
        <w:pStyle w:val="132"/>
        <w:bidi w:val="0"/>
        <w:rPr>
          <w:color w:val="auto"/>
        </w:rPr>
      </w:pPr>
      <w:r>
        <w:rPr>
          <w:color w:val="auto"/>
          <w:lang w:val="en-US" w:eastAsia="zh-CN"/>
        </w:rPr>
        <w:t xml:space="preserve">制定消杀工作计划，科学确定消杀区域、消杀频次、消杀药物、消杀方式等。 </w:t>
      </w:r>
    </w:p>
    <w:p>
      <w:pPr>
        <w:pStyle w:val="132"/>
        <w:bidi w:val="0"/>
        <w:rPr>
          <w:color w:val="auto"/>
        </w:rPr>
      </w:pPr>
      <w:r>
        <w:rPr>
          <w:rFonts w:hint="default"/>
          <w:color w:val="auto"/>
          <w:lang w:val="en-US" w:eastAsia="zh-CN"/>
        </w:rPr>
        <w:t xml:space="preserve">采用低毒、环保的消杀药物，消杀过程中做好防护措施。 </w:t>
      </w:r>
    </w:p>
    <w:p>
      <w:pPr>
        <w:pStyle w:val="132"/>
        <w:bidi w:val="0"/>
        <w:rPr>
          <w:color w:val="auto"/>
        </w:rPr>
      </w:pPr>
      <w:r>
        <w:rPr>
          <w:rFonts w:hint="default"/>
          <w:color w:val="auto"/>
          <w:lang w:val="en-US" w:eastAsia="zh-CN"/>
        </w:rPr>
        <w:t xml:space="preserve">采取综合措施消灭老鼠、蟑螂，控制室内外蚊虫滋生。配合卫生防疫部门进行有害生物的预防和控制，投放药物应预先告知，投药位置有明显标识。 </w:t>
      </w:r>
    </w:p>
    <w:p>
      <w:pPr>
        <w:pStyle w:val="132"/>
        <w:bidi w:val="0"/>
        <w:rPr>
          <w:color w:val="auto"/>
        </w:rPr>
      </w:pPr>
      <w:r>
        <w:rPr>
          <w:rFonts w:hint="default"/>
          <w:color w:val="auto"/>
          <w:lang w:val="en-US" w:eastAsia="zh-CN"/>
        </w:rPr>
        <w:t>消杀作业完成后，应进行检查，将器具、药具统一清洗送指定地点，记录存档。</w:t>
      </w:r>
    </w:p>
    <w:p>
      <w:pPr>
        <w:pStyle w:val="165"/>
        <w:bidi w:val="0"/>
        <w:rPr>
          <w:rFonts w:hint="eastAsia"/>
          <w:color w:val="auto"/>
          <w:lang w:val="en-US" w:eastAsia="zh-CN"/>
        </w:rPr>
      </w:pPr>
      <w:r>
        <w:rPr>
          <w:rFonts w:hint="eastAsia"/>
          <w:color w:val="auto"/>
          <w:lang w:val="en-US" w:eastAsia="zh-CN"/>
        </w:rPr>
        <w:t>垃圾清运处理应符合以下要求：</w:t>
      </w:r>
    </w:p>
    <w:p>
      <w:pPr>
        <w:pStyle w:val="132"/>
        <w:bidi w:val="0"/>
        <w:rPr>
          <w:rFonts w:hint="eastAsia"/>
          <w:color w:val="auto"/>
          <w:lang w:val="en-US" w:eastAsia="zh-CN"/>
        </w:rPr>
      </w:pPr>
      <w:r>
        <w:rPr>
          <w:rFonts w:hint="eastAsia"/>
          <w:color w:val="auto"/>
          <w:lang w:val="en-US" w:eastAsia="zh-CN"/>
        </w:rPr>
        <w:t>按照</w:t>
      </w:r>
      <w:r>
        <w:rPr>
          <w:rFonts w:hint="eastAsia"/>
          <w:color w:val="auto"/>
          <w:highlight w:val="none"/>
          <w:lang w:val="en-US" w:eastAsia="zh-CN"/>
        </w:rPr>
        <w:t>实行垃圾分类，垃圾投</w:t>
      </w:r>
      <w:r>
        <w:rPr>
          <w:rFonts w:hint="eastAsia"/>
          <w:color w:val="auto"/>
          <w:lang w:val="en-US" w:eastAsia="zh-CN"/>
        </w:rPr>
        <w:t>放、处理的容器和场所应设置明显的垃圾分类</w:t>
      </w:r>
      <w:r>
        <w:rPr>
          <w:rFonts w:hint="default"/>
          <w:color w:val="auto"/>
          <w:lang w:val="en-US" w:eastAsia="zh-CN"/>
        </w:rPr>
        <w:t xml:space="preserve">标志标识及垃圾分类指引。 </w:t>
      </w:r>
    </w:p>
    <w:p>
      <w:pPr>
        <w:pStyle w:val="132"/>
        <w:bidi w:val="0"/>
        <w:rPr>
          <w:rFonts w:hint="eastAsia"/>
          <w:color w:val="auto"/>
          <w:lang w:val="en-US" w:eastAsia="zh-CN"/>
        </w:rPr>
      </w:pPr>
      <w:r>
        <w:rPr>
          <w:rFonts w:hint="eastAsia"/>
          <w:color w:val="auto"/>
          <w:lang w:val="en-US" w:eastAsia="zh-CN"/>
        </w:rPr>
        <w:t>公共区域垃圾应及时清理，保持清洁无异味，四周无散积垃圾。</w:t>
      </w:r>
    </w:p>
    <w:p>
      <w:pPr>
        <w:pStyle w:val="132"/>
        <w:bidi w:val="0"/>
        <w:rPr>
          <w:rFonts w:hint="eastAsia"/>
          <w:color w:val="auto"/>
          <w:lang w:val="en-US" w:eastAsia="zh-CN"/>
        </w:rPr>
      </w:pPr>
      <w:r>
        <w:rPr>
          <w:rFonts w:hint="eastAsia"/>
          <w:color w:val="auto"/>
          <w:lang w:val="en-US" w:eastAsia="zh-CN"/>
        </w:rPr>
        <w:t>在</w:t>
      </w:r>
      <w:r>
        <w:rPr>
          <w:rFonts w:hint="default"/>
          <w:color w:val="auto"/>
          <w:lang w:val="en-US" w:eastAsia="zh-CN"/>
        </w:rPr>
        <w:t>垃圾清运过程中</w:t>
      </w:r>
      <w:r>
        <w:rPr>
          <w:rFonts w:hint="eastAsia"/>
          <w:color w:val="auto"/>
          <w:lang w:val="en-US" w:eastAsia="zh-CN"/>
        </w:rPr>
        <w:t>应</w:t>
      </w:r>
      <w:r>
        <w:rPr>
          <w:rFonts w:hint="default"/>
          <w:color w:val="auto"/>
          <w:lang w:val="en-US" w:eastAsia="zh-CN"/>
        </w:rPr>
        <w:t xml:space="preserve">做好防护措施，避免造成二次环境污染。 </w:t>
      </w:r>
    </w:p>
    <w:p>
      <w:pPr>
        <w:pStyle w:val="132"/>
        <w:bidi w:val="0"/>
        <w:rPr>
          <w:rFonts w:hint="eastAsia"/>
          <w:color w:val="auto"/>
          <w:lang w:val="en-US" w:eastAsia="zh-CN"/>
        </w:rPr>
      </w:pPr>
      <w:r>
        <w:rPr>
          <w:rFonts w:hint="default"/>
          <w:color w:val="auto"/>
          <w:lang w:val="en-US" w:eastAsia="zh-CN"/>
        </w:rPr>
        <w:t>建筑垃圾</w:t>
      </w:r>
      <w:r>
        <w:rPr>
          <w:rFonts w:hint="eastAsia"/>
          <w:color w:val="auto"/>
          <w:lang w:val="en-US" w:eastAsia="zh-CN"/>
        </w:rPr>
        <w:t>应</w:t>
      </w:r>
      <w:r>
        <w:rPr>
          <w:rFonts w:hint="default"/>
          <w:color w:val="auto"/>
          <w:lang w:val="en-US" w:eastAsia="zh-CN"/>
        </w:rPr>
        <w:t xml:space="preserve">分类堆放到指定垃圾缓存区，专门清运。 </w:t>
      </w:r>
    </w:p>
    <w:p>
      <w:pPr>
        <w:pStyle w:val="165"/>
        <w:bidi w:val="0"/>
        <w:rPr>
          <w:rFonts w:hint="eastAsia"/>
          <w:color w:val="auto"/>
          <w:lang w:val="en-US" w:eastAsia="zh-CN"/>
        </w:rPr>
      </w:pPr>
      <w:r>
        <w:rPr>
          <w:rFonts w:hint="eastAsia"/>
          <w:color w:val="auto"/>
          <w:lang w:val="en-US" w:eastAsia="zh-CN"/>
        </w:rPr>
        <w:t>化粪池、雨水井清掏应符合以下要求：</w:t>
      </w:r>
    </w:p>
    <w:p>
      <w:pPr>
        <w:pStyle w:val="132"/>
        <w:bidi w:val="0"/>
        <w:rPr>
          <w:rFonts w:hint="eastAsia"/>
          <w:color w:val="auto"/>
          <w:lang w:val="en-US" w:eastAsia="zh-CN"/>
        </w:rPr>
      </w:pPr>
      <w:r>
        <w:rPr>
          <w:rFonts w:hint="eastAsia"/>
          <w:color w:val="auto"/>
          <w:lang w:val="en-US" w:eastAsia="zh-CN"/>
        </w:rPr>
        <w:t>清掏作业前应打开井盖，使用鼓风机等机械设备进行充分通风排气，并对池内板结物进行注水稀释。</w:t>
      </w:r>
    </w:p>
    <w:p>
      <w:pPr>
        <w:pStyle w:val="132"/>
        <w:bidi w:val="0"/>
        <w:rPr>
          <w:rFonts w:hint="eastAsia"/>
          <w:color w:val="auto"/>
          <w:lang w:val="en-US" w:eastAsia="zh-CN"/>
        </w:rPr>
      </w:pPr>
      <w:r>
        <w:rPr>
          <w:rFonts w:hint="eastAsia"/>
          <w:color w:val="auto"/>
          <w:lang w:val="en-US" w:eastAsia="zh-CN"/>
        </w:rPr>
        <w:t>清掏作业人员进入设施前，应对池内氧气、甲烷、硫化氢、一氧化碳等气体浓度进行检测，确保气体浓度符合安全要求方可进入。</w:t>
      </w:r>
    </w:p>
    <w:p>
      <w:pPr>
        <w:pStyle w:val="132"/>
        <w:bidi w:val="0"/>
        <w:rPr>
          <w:rFonts w:hint="eastAsia"/>
          <w:color w:val="auto"/>
          <w:lang w:val="en-US" w:eastAsia="zh-CN"/>
        </w:rPr>
      </w:pPr>
      <w:r>
        <w:rPr>
          <w:rFonts w:hint="eastAsia"/>
          <w:color w:val="auto"/>
          <w:lang w:val="en-US" w:eastAsia="zh-CN"/>
        </w:rPr>
        <w:t>清掏作业宜采用负压抽吸方式。采用人工下池作业时，单次作业人员不应少于2人，且应佩戴空气呼吸器、安全绳、防化服等防护装备。池内照明及电动工具应具有防爆功能。</w:t>
      </w:r>
    </w:p>
    <w:p>
      <w:pPr>
        <w:pStyle w:val="132"/>
        <w:bidi w:val="0"/>
        <w:rPr>
          <w:rFonts w:hint="eastAsia"/>
          <w:color w:val="auto"/>
          <w:lang w:val="en-US" w:eastAsia="zh-CN"/>
        </w:rPr>
      </w:pPr>
      <w:r>
        <w:rPr>
          <w:rFonts w:hint="eastAsia"/>
          <w:color w:val="auto"/>
          <w:lang w:val="en-US" w:eastAsia="zh-CN"/>
        </w:rPr>
        <w:t>清掏作业区域周围应设置安全警示标志和警戒线，现场应配备空气呼吸器、气体检测仪、防爆通风设备、安全绳等应急救援装备。作业现场及周边安全范围内不得出现明火、吸烟及使用非防爆电气设备。</w:t>
      </w:r>
    </w:p>
    <w:p>
      <w:pPr>
        <w:pStyle w:val="132"/>
        <w:bidi w:val="0"/>
        <w:rPr>
          <w:rFonts w:hint="default"/>
          <w:color w:val="auto"/>
          <w:lang w:val="en-US" w:eastAsia="zh-CN"/>
        </w:rPr>
      </w:pPr>
      <w:r>
        <w:rPr>
          <w:rFonts w:hint="eastAsia"/>
          <w:color w:val="auto"/>
          <w:lang w:val="en-US" w:eastAsia="zh-CN"/>
        </w:rPr>
        <w:t>清掏作业完成后，应确保</w:t>
      </w:r>
      <w:r>
        <w:rPr>
          <w:rFonts w:hint="default"/>
          <w:color w:val="auto"/>
          <w:lang w:val="en-US" w:eastAsia="zh-CN"/>
        </w:rPr>
        <w:t>水面无明显漂浮物</w:t>
      </w:r>
      <w:r>
        <w:rPr>
          <w:rFonts w:hint="eastAsia"/>
          <w:color w:val="auto"/>
          <w:lang w:val="en-US" w:eastAsia="zh-CN"/>
        </w:rPr>
        <w:t>，</w:t>
      </w:r>
      <w:r>
        <w:rPr>
          <w:rFonts w:hint="default"/>
          <w:color w:val="auto"/>
          <w:lang w:val="en-US" w:eastAsia="zh-CN"/>
        </w:rPr>
        <w:t>进出口管道排水通畅</w:t>
      </w:r>
      <w:r>
        <w:rPr>
          <w:rFonts w:hint="eastAsia"/>
          <w:color w:val="auto"/>
          <w:lang w:val="en-US" w:eastAsia="zh-CN"/>
        </w:rPr>
        <w:t>，</w:t>
      </w:r>
      <w:r>
        <w:rPr>
          <w:rFonts w:hint="default"/>
          <w:color w:val="auto"/>
          <w:lang w:val="en-US" w:eastAsia="zh-CN"/>
        </w:rPr>
        <w:t>通气管畅通</w:t>
      </w:r>
      <w:r>
        <w:rPr>
          <w:rFonts w:hint="eastAsia"/>
          <w:color w:val="auto"/>
          <w:lang w:val="en-US" w:eastAsia="zh-CN"/>
        </w:rPr>
        <w:t>，</w:t>
      </w:r>
      <w:r>
        <w:rPr>
          <w:rFonts w:hint="default"/>
          <w:color w:val="auto"/>
          <w:lang w:val="en-US" w:eastAsia="zh-CN"/>
        </w:rPr>
        <w:t>池口密封良好，井盖复位牢固</w:t>
      </w:r>
      <w:r>
        <w:rPr>
          <w:rFonts w:hint="eastAsia"/>
          <w:color w:val="auto"/>
          <w:lang w:val="en-US" w:eastAsia="zh-CN"/>
        </w:rPr>
        <w:t>，</w:t>
      </w:r>
      <w:r>
        <w:rPr>
          <w:rFonts w:hint="default"/>
          <w:color w:val="auto"/>
          <w:lang w:val="en-US" w:eastAsia="zh-CN"/>
        </w:rPr>
        <w:t>作业现场及周边环境应冲洗干净，无遗留污物。</w:t>
      </w:r>
    </w:p>
    <w:p>
      <w:pPr>
        <w:pStyle w:val="105"/>
        <w:bidi w:val="0"/>
        <w:rPr>
          <w:rFonts w:hint="default"/>
          <w:color w:val="auto"/>
          <w:lang w:val="en-US" w:eastAsia="zh-CN"/>
        </w:rPr>
      </w:pPr>
      <w:bookmarkStart w:id="63" w:name="_Toc26852"/>
      <w:r>
        <w:rPr>
          <w:rFonts w:hint="eastAsia"/>
          <w:color w:val="auto"/>
          <w:lang w:val="en-US" w:eastAsia="zh-CN"/>
        </w:rPr>
        <w:t>绿化服务</w:t>
      </w:r>
      <w:bookmarkEnd w:id="63"/>
    </w:p>
    <w:p>
      <w:pPr>
        <w:pStyle w:val="165"/>
        <w:bidi w:val="0"/>
        <w:rPr>
          <w:color w:val="auto"/>
        </w:rPr>
      </w:pPr>
      <w:r>
        <w:rPr>
          <w:rFonts w:hint="eastAsia"/>
          <w:color w:val="auto"/>
          <w:lang w:val="en-US" w:eastAsia="zh-CN"/>
        </w:rPr>
        <w:t>室内绿化养护服务应符合以下要求：</w:t>
      </w:r>
      <w:r>
        <w:rPr>
          <w:rFonts w:hint="eastAsia" w:ascii="宋体" w:hAnsi="宋体" w:eastAsia="宋体" w:cs="宋体"/>
          <w:color w:val="auto"/>
          <w:kern w:val="0"/>
          <w:sz w:val="21"/>
          <w:szCs w:val="21"/>
          <w:lang w:val="en-US" w:eastAsia="zh-CN" w:bidi="ar"/>
        </w:rPr>
        <w:t xml:space="preserve"> </w:t>
      </w:r>
    </w:p>
    <w:p>
      <w:pPr>
        <w:pStyle w:val="132"/>
        <w:bidi w:val="0"/>
        <w:rPr>
          <w:color w:val="auto"/>
        </w:rPr>
      </w:pPr>
      <w:r>
        <w:rPr>
          <w:rFonts w:hint="eastAsia"/>
          <w:color w:val="auto"/>
          <w:lang w:val="en-US" w:eastAsia="zh-CN"/>
        </w:rPr>
        <w:t xml:space="preserve">公共区域及办公室、会议室绿植和花卉摆放应及时、有序、合理，按季节和需要对品种进行更换。 </w:t>
      </w:r>
    </w:p>
    <w:p>
      <w:pPr>
        <w:pStyle w:val="132"/>
        <w:bidi w:val="0"/>
        <w:rPr>
          <w:rFonts w:hint="eastAsia"/>
          <w:color w:val="auto"/>
          <w:lang w:val="en-US" w:eastAsia="zh-CN"/>
        </w:rPr>
      </w:pPr>
      <w:r>
        <w:rPr>
          <w:rFonts w:hint="eastAsia"/>
          <w:color w:val="auto"/>
          <w:lang w:val="en-US" w:eastAsia="zh-CN"/>
        </w:rPr>
        <w:t>应定期查看绿植和花卉生长状态，及时浇水和清洁，避免缺水、落尘等现象。</w:t>
      </w:r>
    </w:p>
    <w:p>
      <w:pPr>
        <w:pStyle w:val="132"/>
        <w:bidi w:val="0"/>
        <w:rPr>
          <w:rFonts w:hint="eastAsia"/>
          <w:color w:val="auto"/>
          <w:lang w:val="en-US" w:eastAsia="zh-CN"/>
        </w:rPr>
      </w:pPr>
      <w:r>
        <w:rPr>
          <w:rFonts w:hint="eastAsia"/>
          <w:color w:val="auto"/>
          <w:lang w:val="en-US" w:eastAsia="zh-CN"/>
        </w:rPr>
        <w:t>发现枯叶残枝或病虫害，应及时通知物业使用单位。</w:t>
      </w:r>
    </w:p>
    <w:p>
      <w:pPr>
        <w:pStyle w:val="165"/>
        <w:bidi w:val="0"/>
        <w:rPr>
          <w:rFonts w:hint="default"/>
          <w:color w:val="auto"/>
          <w:lang w:val="en-US" w:eastAsia="zh-CN"/>
        </w:rPr>
      </w:pPr>
      <w:r>
        <w:rPr>
          <w:rFonts w:hint="eastAsia"/>
          <w:color w:val="auto"/>
          <w:lang w:val="en-US" w:eastAsia="zh-CN"/>
        </w:rPr>
        <w:t>室外绿化养护服务应符合以下要求：</w:t>
      </w:r>
    </w:p>
    <w:p>
      <w:pPr>
        <w:pStyle w:val="132"/>
        <w:bidi w:val="0"/>
        <w:rPr>
          <w:color w:val="auto"/>
        </w:rPr>
      </w:pPr>
      <w:r>
        <w:rPr>
          <w:rFonts w:hint="eastAsia"/>
          <w:color w:val="auto"/>
          <w:lang w:val="en-US" w:eastAsia="zh-CN"/>
        </w:rPr>
        <w:t>根据项目、季节特点制订绿化养护实施方案，</w:t>
      </w:r>
      <w:r>
        <w:rPr>
          <w:rFonts w:ascii="瀹嬩綋" w:hAnsi="瀹嬩綋" w:eastAsia="瀹嬩綋" w:cs="瀹嬩綋"/>
          <w:color w:val="auto"/>
          <w:kern w:val="0"/>
          <w:sz w:val="21"/>
          <w:szCs w:val="21"/>
          <w:lang w:val="en-US" w:eastAsia="zh-CN" w:bidi="ar"/>
        </w:rPr>
        <w:t>定期巡查绿地设施及硬质景观</w:t>
      </w:r>
      <w:r>
        <w:rPr>
          <w:rFonts w:hint="eastAsia"/>
          <w:color w:val="auto"/>
          <w:lang w:val="en-US" w:eastAsia="zh-CN"/>
        </w:rPr>
        <w:t xml:space="preserve">。 </w:t>
      </w:r>
    </w:p>
    <w:p>
      <w:pPr>
        <w:pStyle w:val="132"/>
        <w:bidi w:val="0"/>
        <w:rPr>
          <w:color w:val="auto"/>
        </w:rPr>
      </w:pPr>
      <w:r>
        <w:rPr>
          <w:color w:val="auto"/>
          <w:lang w:val="en-US" w:eastAsia="zh-CN"/>
        </w:rPr>
        <w:t>草坪、花卉、绿篱、树木及时修剪整形、施肥，进行浇灌作业应</w:t>
      </w:r>
      <w:r>
        <w:rPr>
          <w:rFonts w:hint="default"/>
          <w:color w:val="auto"/>
          <w:lang w:val="en-US" w:eastAsia="zh-CN"/>
        </w:rPr>
        <w:t>下渗充足均匀，无明显旱涝情况发生</w:t>
      </w:r>
      <w:r>
        <w:rPr>
          <w:rFonts w:hint="eastAsia"/>
          <w:color w:val="auto"/>
          <w:lang w:val="en-US" w:eastAsia="zh-CN"/>
        </w:rPr>
        <w:t>。</w:t>
      </w:r>
    </w:p>
    <w:p>
      <w:pPr>
        <w:pStyle w:val="132"/>
        <w:bidi w:val="0"/>
        <w:rPr>
          <w:color w:val="auto"/>
        </w:rPr>
      </w:pPr>
      <w:r>
        <w:rPr>
          <w:rFonts w:hint="eastAsia"/>
          <w:color w:val="auto"/>
          <w:lang w:val="en-US" w:eastAsia="zh-CN"/>
        </w:rPr>
        <w:t xml:space="preserve">在绿地周边清洁过程中，应达到“五净”、“五不”要求，即：路面净、路边净、搓堆净、污水口净、垃圾桶等设施净；不见杂物、不见积存污水、不见丢堆、不焚烧树叶枯草、不向花坛和绿化带扫倒垃圾。 </w:t>
      </w:r>
    </w:p>
    <w:p>
      <w:pPr>
        <w:pStyle w:val="132"/>
        <w:bidi w:val="0"/>
        <w:rPr>
          <w:color w:val="auto"/>
        </w:rPr>
      </w:pPr>
      <w:r>
        <w:rPr>
          <w:rFonts w:hint="eastAsia"/>
          <w:color w:val="auto"/>
          <w:lang w:val="en-US" w:eastAsia="zh-CN"/>
        </w:rPr>
        <w:t xml:space="preserve">应保持绿地内清洁、整齐。 </w:t>
      </w:r>
    </w:p>
    <w:p>
      <w:pPr>
        <w:pStyle w:val="132"/>
        <w:bidi w:val="0"/>
        <w:rPr>
          <w:color w:val="auto"/>
        </w:rPr>
      </w:pPr>
      <w:r>
        <w:rPr>
          <w:rFonts w:hint="eastAsia"/>
          <w:color w:val="auto"/>
          <w:lang w:val="en-US" w:eastAsia="zh-CN"/>
        </w:rPr>
        <w:t xml:space="preserve">应定期对绿植和花卉开展病虫害防治作业。 </w:t>
      </w:r>
    </w:p>
    <w:p>
      <w:pPr>
        <w:pStyle w:val="132"/>
        <w:bidi w:val="0"/>
        <w:rPr>
          <w:rFonts w:hint="default"/>
          <w:color w:val="auto"/>
          <w:lang w:val="en-US" w:eastAsia="zh-CN"/>
        </w:rPr>
      </w:pPr>
      <w:r>
        <w:rPr>
          <w:color w:val="auto"/>
          <w:lang w:val="en-US" w:eastAsia="zh-CN"/>
        </w:rPr>
        <w:t>绿化作业时</w:t>
      </w:r>
      <w:r>
        <w:rPr>
          <w:rFonts w:hint="eastAsia"/>
          <w:color w:val="auto"/>
          <w:lang w:val="en-US" w:eastAsia="zh-CN"/>
        </w:rPr>
        <w:t>应</w:t>
      </w:r>
      <w:r>
        <w:rPr>
          <w:color w:val="auto"/>
          <w:lang w:val="en-US" w:eastAsia="zh-CN"/>
        </w:rPr>
        <w:t>采取必要防护措施,防止造成人员伤害。</w:t>
      </w:r>
    </w:p>
    <w:p>
      <w:pPr>
        <w:pStyle w:val="104"/>
        <w:bidi w:val="0"/>
        <w:rPr>
          <w:rFonts w:hint="eastAsia"/>
          <w:color w:val="auto"/>
          <w:lang w:val="en-US" w:eastAsia="zh-CN"/>
        </w:rPr>
      </w:pPr>
      <w:bookmarkStart w:id="64" w:name="_Toc20800"/>
      <w:r>
        <w:rPr>
          <w:rFonts w:hint="eastAsia"/>
          <w:color w:val="auto"/>
          <w:lang w:val="en-US" w:eastAsia="zh-CN"/>
        </w:rPr>
        <w:t>协助管理</w:t>
      </w:r>
      <w:bookmarkEnd w:id="64"/>
    </w:p>
    <w:p>
      <w:pPr>
        <w:pStyle w:val="162"/>
        <w:bidi w:val="0"/>
        <w:rPr>
          <w:rFonts w:hint="eastAsia"/>
          <w:color w:val="auto"/>
          <w:lang w:val="en-US" w:eastAsia="zh-CN"/>
        </w:rPr>
      </w:pPr>
      <w:r>
        <w:rPr>
          <w:rFonts w:hint="eastAsia"/>
          <w:color w:val="auto"/>
          <w:lang w:val="en-US" w:eastAsia="zh-CN"/>
        </w:rPr>
        <w:t>应对相关专业检测与鉴定协助等超出自身服务范围或应由物业使用单位负责的事项，提供协助管理服务。协助管理应符合以下要求：</w:t>
      </w:r>
    </w:p>
    <w:p>
      <w:pPr>
        <w:pStyle w:val="132"/>
        <w:bidi w:val="0"/>
        <w:rPr>
          <w:rFonts w:hint="eastAsia"/>
          <w:color w:val="auto"/>
          <w:lang w:val="en-US" w:eastAsia="zh-CN"/>
        </w:rPr>
      </w:pPr>
      <w:r>
        <w:rPr>
          <w:rFonts w:hint="eastAsia"/>
          <w:color w:val="auto"/>
          <w:lang w:val="en-US" w:eastAsia="zh-CN"/>
        </w:rPr>
        <w:t>建立提醒台账。对各类法定检测、试验、鉴定事项建立管理台账，明确事项名称、法定或约定周期、责任主体、下次到期时间等，实行预警管理。</w:t>
      </w:r>
    </w:p>
    <w:p>
      <w:pPr>
        <w:pStyle w:val="132"/>
        <w:bidi w:val="0"/>
        <w:rPr>
          <w:rFonts w:hint="eastAsia"/>
          <w:color w:val="auto"/>
          <w:lang w:val="en-US" w:eastAsia="zh-CN"/>
        </w:rPr>
      </w:pPr>
      <w:r>
        <w:rPr>
          <w:rFonts w:hint="eastAsia"/>
          <w:color w:val="auto"/>
          <w:lang w:val="en-US" w:eastAsia="zh-CN"/>
        </w:rPr>
        <w:t>书面提醒服务。提醒应以书面形式（包括但不限于工作联系函、提醒函、报告等）送达物业使用单位。</w:t>
      </w:r>
    </w:p>
    <w:p>
      <w:pPr>
        <w:pStyle w:val="132"/>
        <w:bidi w:val="0"/>
        <w:rPr>
          <w:rFonts w:hint="eastAsia"/>
          <w:color w:val="auto"/>
          <w:lang w:val="en-US" w:eastAsia="zh-CN"/>
        </w:rPr>
      </w:pPr>
      <w:r>
        <w:rPr>
          <w:rFonts w:hint="eastAsia"/>
          <w:color w:val="auto"/>
          <w:lang w:val="en-US" w:eastAsia="zh-CN"/>
        </w:rPr>
        <w:t>配合服务。在物业使用单位或受其委托的第三方机构开展工作时，应提供必要的现场配合，包括出入便利、设施设备操作、基础资料提供等。</w:t>
      </w:r>
    </w:p>
    <w:p>
      <w:pPr>
        <w:pStyle w:val="132"/>
        <w:bidi w:val="0"/>
        <w:rPr>
          <w:rFonts w:hint="eastAsia"/>
          <w:color w:val="auto"/>
          <w:lang w:val="en-US" w:eastAsia="zh-CN"/>
        </w:rPr>
      </w:pPr>
      <w:r>
        <w:rPr>
          <w:rFonts w:hint="eastAsia"/>
          <w:color w:val="auto"/>
          <w:lang w:val="en-US" w:eastAsia="zh-CN"/>
        </w:rPr>
        <w:t>信息反馈。协助管理过程中发现异常情况或检测、鉴定结论存在问题时，应及时向物业使用单位书面报告，并提出处理建议。</w:t>
      </w:r>
    </w:p>
    <w:p>
      <w:pPr>
        <w:pStyle w:val="132"/>
        <w:bidi w:val="0"/>
        <w:rPr>
          <w:rFonts w:hint="eastAsia"/>
          <w:color w:val="auto"/>
          <w:lang w:val="en-US" w:eastAsia="zh-CN"/>
        </w:rPr>
      </w:pPr>
      <w:r>
        <w:rPr>
          <w:rFonts w:hint="eastAsia"/>
          <w:color w:val="auto"/>
          <w:lang w:val="en-US" w:eastAsia="zh-CN"/>
        </w:rPr>
        <w:t>记录留存。对协助管理过程中的提醒、配合、报告等行为做好记录，相关记录纳入物业服务档案管理。</w:t>
      </w:r>
    </w:p>
    <w:p>
      <w:pPr>
        <w:pStyle w:val="162"/>
        <w:bidi w:val="0"/>
        <w:rPr>
          <w:rFonts w:hint="eastAsia"/>
          <w:color w:val="auto"/>
          <w:lang w:val="en-US" w:eastAsia="zh-CN"/>
        </w:rPr>
      </w:pPr>
      <w:r>
        <w:rPr>
          <w:rFonts w:hint="eastAsia"/>
          <w:color w:val="auto"/>
          <w:lang w:val="en-US" w:eastAsia="zh-CN"/>
        </w:rPr>
        <w:t>协助建筑防雷装置检测应符合以下要求：</w:t>
      </w:r>
    </w:p>
    <w:p>
      <w:pPr>
        <w:pStyle w:val="132"/>
        <w:bidi w:val="0"/>
        <w:rPr>
          <w:rFonts w:hint="eastAsia"/>
          <w:color w:val="auto"/>
          <w:lang w:val="en-US" w:eastAsia="zh-CN"/>
        </w:rPr>
      </w:pPr>
      <w:r>
        <w:rPr>
          <w:rFonts w:hint="eastAsia"/>
          <w:color w:val="auto"/>
          <w:lang w:val="en-US" w:eastAsia="zh-CN"/>
        </w:rPr>
        <w:t>及时提醒物业使用单位委托专业机构对建筑防雷系统进行全面检测。</w:t>
      </w:r>
    </w:p>
    <w:p>
      <w:pPr>
        <w:pStyle w:val="132"/>
        <w:bidi w:val="0"/>
        <w:rPr>
          <w:rFonts w:hint="eastAsia"/>
          <w:color w:val="auto"/>
          <w:lang w:val="en-US" w:eastAsia="zh-CN"/>
        </w:rPr>
      </w:pPr>
      <w:r>
        <w:rPr>
          <w:rFonts w:hint="eastAsia"/>
          <w:color w:val="auto"/>
          <w:lang w:val="en-US" w:eastAsia="zh-CN"/>
        </w:rPr>
        <w:t>协助提供防雷设施分布图、历次检测记录等基础资料。</w:t>
      </w:r>
    </w:p>
    <w:p>
      <w:pPr>
        <w:pStyle w:val="132"/>
        <w:bidi w:val="0"/>
        <w:rPr>
          <w:rFonts w:hint="eastAsia"/>
          <w:color w:val="auto"/>
          <w:lang w:val="en-US" w:eastAsia="zh-CN"/>
        </w:rPr>
      </w:pPr>
      <w:r>
        <w:rPr>
          <w:rFonts w:hint="eastAsia"/>
          <w:color w:val="auto"/>
          <w:lang w:val="en-US" w:eastAsia="zh-CN"/>
        </w:rPr>
        <w:t>检测期间配合做好现场协调，保障检测工作正常开展。</w:t>
      </w:r>
    </w:p>
    <w:p>
      <w:pPr>
        <w:pStyle w:val="132"/>
        <w:bidi w:val="0"/>
        <w:rPr>
          <w:rFonts w:hint="eastAsia"/>
          <w:color w:val="auto"/>
          <w:lang w:val="en-US" w:eastAsia="zh-CN"/>
        </w:rPr>
      </w:pPr>
      <w:r>
        <w:rPr>
          <w:rFonts w:hint="eastAsia"/>
          <w:color w:val="auto"/>
          <w:lang w:val="en-US" w:eastAsia="zh-CN"/>
        </w:rPr>
        <w:t>检测完成后协助查验检测报告，对检测发现的问题及时提醒整改。</w:t>
      </w:r>
    </w:p>
    <w:p>
      <w:pPr>
        <w:pStyle w:val="162"/>
        <w:bidi w:val="0"/>
        <w:rPr>
          <w:rFonts w:hint="eastAsia"/>
          <w:color w:val="auto"/>
          <w:lang w:val="en-US" w:eastAsia="zh-CN"/>
        </w:rPr>
      </w:pPr>
      <w:r>
        <w:rPr>
          <w:rFonts w:hint="eastAsia"/>
          <w:color w:val="auto"/>
          <w:lang w:val="en-US" w:eastAsia="zh-CN"/>
        </w:rPr>
        <w:t>协助供配电设备预防性试验应符合以下要求：</w:t>
      </w:r>
    </w:p>
    <w:p>
      <w:pPr>
        <w:pStyle w:val="132"/>
        <w:bidi w:val="0"/>
        <w:rPr>
          <w:rFonts w:hint="eastAsia"/>
          <w:color w:val="auto"/>
          <w:lang w:val="en-US" w:eastAsia="zh-CN"/>
        </w:rPr>
      </w:pPr>
      <w:r>
        <w:rPr>
          <w:rFonts w:hint="eastAsia"/>
          <w:color w:val="auto"/>
          <w:lang w:val="en-US" w:eastAsia="zh-CN"/>
        </w:rPr>
        <w:t>及时提醒物业使用单位安排变压器、高压开关柜等设备的预防性电气试验。</w:t>
      </w:r>
    </w:p>
    <w:p>
      <w:pPr>
        <w:pStyle w:val="132"/>
        <w:bidi w:val="0"/>
        <w:rPr>
          <w:rFonts w:hint="eastAsia"/>
          <w:color w:val="auto"/>
          <w:lang w:val="en-US" w:eastAsia="zh-CN"/>
        </w:rPr>
      </w:pPr>
      <w:r>
        <w:rPr>
          <w:rFonts w:hint="eastAsia"/>
          <w:color w:val="auto"/>
          <w:lang w:val="en-US" w:eastAsia="zh-CN"/>
        </w:rPr>
        <w:t>协助做好停电计划协调、设备运行记录提供等配合工作。</w:t>
      </w:r>
    </w:p>
    <w:p>
      <w:pPr>
        <w:pStyle w:val="132"/>
        <w:bidi w:val="0"/>
        <w:rPr>
          <w:rFonts w:hint="eastAsia"/>
          <w:color w:val="auto"/>
          <w:lang w:val="en-US" w:eastAsia="zh-CN"/>
        </w:rPr>
      </w:pPr>
      <w:r>
        <w:rPr>
          <w:rFonts w:hint="eastAsia"/>
          <w:color w:val="auto"/>
          <w:lang w:val="en-US" w:eastAsia="zh-CN"/>
        </w:rPr>
        <w:t>试验完成后协助查验试验报告，对异常数据及时报告。</w:t>
      </w:r>
    </w:p>
    <w:p>
      <w:pPr>
        <w:pStyle w:val="162"/>
        <w:bidi w:val="0"/>
        <w:rPr>
          <w:rFonts w:hint="eastAsia"/>
          <w:color w:val="auto"/>
          <w:lang w:val="en-US" w:eastAsia="zh-CN"/>
        </w:rPr>
      </w:pPr>
      <w:r>
        <w:rPr>
          <w:rFonts w:hint="eastAsia"/>
          <w:color w:val="auto"/>
          <w:lang w:val="en-US" w:eastAsia="zh-CN"/>
        </w:rPr>
        <w:t>协助建筑沉降观测与房屋安全鉴定应符合以下要求：</w:t>
      </w:r>
    </w:p>
    <w:p>
      <w:pPr>
        <w:pStyle w:val="132"/>
        <w:bidi w:val="0"/>
        <w:rPr>
          <w:rFonts w:hint="eastAsia"/>
          <w:color w:val="auto"/>
          <w:lang w:val="en-US" w:eastAsia="zh-CN"/>
        </w:rPr>
      </w:pPr>
      <w:r>
        <w:rPr>
          <w:rFonts w:hint="eastAsia"/>
          <w:color w:val="auto"/>
          <w:lang w:val="en-US" w:eastAsia="zh-CN"/>
        </w:rPr>
        <w:t>发现房屋主体结构变形、开裂、沉降异常等情况时，应立即书面建议物业使用单位委托专业鉴定。</w:t>
      </w:r>
    </w:p>
    <w:p>
      <w:pPr>
        <w:pStyle w:val="132"/>
        <w:bidi w:val="0"/>
        <w:rPr>
          <w:rFonts w:hint="eastAsia"/>
          <w:color w:val="auto"/>
          <w:lang w:val="en-US" w:eastAsia="zh-CN"/>
        </w:rPr>
      </w:pPr>
      <w:r>
        <w:rPr>
          <w:rFonts w:hint="eastAsia"/>
          <w:color w:val="auto"/>
          <w:lang w:val="en-US" w:eastAsia="zh-CN"/>
        </w:rPr>
        <w:t>协助鉴定机构开展现场查勘，提供建筑图纸、施工资料等。</w:t>
      </w:r>
    </w:p>
    <w:p>
      <w:pPr>
        <w:pStyle w:val="132"/>
        <w:bidi w:val="0"/>
        <w:rPr>
          <w:rFonts w:hint="eastAsia"/>
          <w:color w:val="auto"/>
          <w:lang w:val="en-US" w:eastAsia="zh-CN"/>
        </w:rPr>
      </w:pPr>
      <w:r>
        <w:rPr>
          <w:rFonts w:hint="eastAsia"/>
          <w:color w:val="auto"/>
          <w:lang w:val="en-US" w:eastAsia="zh-CN"/>
        </w:rPr>
        <w:t>鉴定期间应采取必要的安全防护措施，设置警示标识。</w:t>
      </w:r>
    </w:p>
    <w:p>
      <w:pPr>
        <w:pStyle w:val="162"/>
        <w:bidi w:val="0"/>
        <w:rPr>
          <w:rFonts w:hint="eastAsia"/>
          <w:color w:val="auto"/>
          <w:lang w:val="en-US" w:eastAsia="zh-CN"/>
        </w:rPr>
      </w:pPr>
      <w:r>
        <w:rPr>
          <w:rFonts w:hint="eastAsia"/>
          <w:color w:val="auto"/>
          <w:lang w:val="en-US" w:eastAsia="zh-CN"/>
        </w:rPr>
        <w:t>协助建筑消防设施检测应符合以下要求：</w:t>
      </w:r>
    </w:p>
    <w:p>
      <w:pPr>
        <w:pStyle w:val="132"/>
        <w:bidi w:val="0"/>
        <w:rPr>
          <w:rFonts w:hint="eastAsia"/>
          <w:color w:val="auto"/>
          <w:lang w:val="en-US" w:eastAsia="zh-CN"/>
        </w:rPr>
      </w:pPr>
      <w:r>
        <w:rPr>
          <w:rFonts w:hint="eastAsia"/>
          <w:color w:val="auto"/>
          <w:lang w:val="en-US" w:eastAsia="zh-CN"/>
        </w:rPr>
        <w:t>及时提醒并协助物业使用单位委托具备资质的消防技术服务机构进行检测。</w:t>
      </w:r>
    </w:p>
    <w:p>
      <w:pPr>
        <w:pStyle w:val="132"/>
        <w:bidi w:val="0"/>
        <w:rPr>
          <w:rFonts w:hint="eastAsia"/>
          <w:color w:val="auto"/>
          <w:lang w:val="en-US" w:eastAsia="zh-CN"/>
        </w:rPr>
      </w:pPr>
      <w:r>
        <w:rPr>
          <w:rFonts w:hint="eastAsia"/>
          <w:color w:val="auto"/>
          <w:lang w:val="en-US" w:eastAsia="zh-CN"/>
        </w:rPr>
        <w:t>配合检测期间的设施操作、区域隔离等工作。</w:t>
      </w:r>
    </w:p>
    <w:p>
      <w:pPr>
        <w:pStyle w:val="132"/>
        <w:bidi w:val="0"/>
        <w:rPr>
          <w:rFonts w:hint="eastAsia"/>
          <w:color w:val="auto"/>
          <w:lang w:val="en-US" w:eastAsia="zh-CN"/>
        </w:rPr>
      </w:pPr>
      <w:r>
        <w:rPr>
          <w:rFonts w:hint="eastAsia"/>
          <w:color w:val="auto"/>
          <w:lang w:val="en-US" w:eastAsia="zh-CN"/>
        </w:rPr>
        <w:t>对检测报告中的不合格项，协助制定整改计划并跟踪落实。</w:t>
      </w:r>
    </w:p>
    <w:p>
      <w:pPr>
        <w:pStyle w:val="162"/>
        <w:bidi w:val="0"/>
        <w:rPr>
          <w:rFonts w:hint="eastAsia"/>
          <w:color w:val="auto"/>
          <w:lang w:val="en-US" w:eastAsia="zh-CN"/>
        </w:rPr>
      </w:pPr>
      <w:r>
        <w:rPr>
          <w:rFonts w:hint="eastAsia"/>
          <w:color w:val="auto"/>
          <w:lang w:val="en-US" w:eastAsia="zh-CN"/>
        </w:rPr>
        <w:t>协助电梯定期检验应符合以下要求：</w:t>
      </w:r>
    </w:p>
    <w:p>
      <w:pPr>
        <w:pStyle w:val="132"/>
        <w:bidi w:val="0"/>
        <w:rPr>
          <w:rFonts w:hint="eastAsia"/>
          <w:color w:val="auto"/>
          <w:lang w:val="en-US" w:eastAsia="zh-CN"/>
        </w:rPr>
      </w:pPr>
      <w:r>
        <w:rPr>
          <w:rFonts w:hint="eastAsia"/>
          <w:color w:val="auto"/>
          <w:lang w:val="en-US" w:eastAsia="zh-CN"/>
        </w:rPr>
        <w:t>及时提醒物业使用单位申报定期检验。</w:t>
      </w:r>
    </w:p>
    <w:p>
      <w:pPr>
        <w:pStyle w:val="132"/>
        <w:bidi w:val="0"/>
        <w:rPr>
          <w:rFonts w:hint="eastAsia"/>
          <w:color w:val="auto"/>
          <w:lang w:val="en-US" w:eastAsia="zh-CN"/>
        </w:rPr>
      </w:pPr>
      <w:r>
        <w:rPr>
          <w:rFonts w:hint="eastAsia"/>
          <w:color w:val="auto"/>
          <w:lang w:val="en-US" w:eastAsia="zh-CN"/>
        </w:rPr>
        <w:t>协助做好检验现场配合工作。</w:t>
      </w:r>
    </w:p>
    <w:p>
      <w:pPr>
        <w:pStyle w:val="132"/>
        <w:bidi w:val="0"/>
        <w:rPr>
          <w:rFonts w:hint="eastAsia"/>
          <w:color w:val="auto"/>
          <w:lang w:val="en-US" w:eastAsia="zh-CN"/>
        </w:rPr>
      </w:pPr>
      <w:r>
        <w:rPr>
          <w:rFonts w:hint="eastAsia"/>
          <w:color w:val="auto"/>
          <w:lang w:val="en-US" w:eastAsia="zh-CN"/>
        </w:rPr>
        <w:t>对检验中发现的问题，督促维保单位及时整改并申请复检。</w:t>
      </w:r>
    </w:p>
    <w:p>
      <w:pPr>
        <w:pStyle w:val="162"/>
        <w:bidi w:val="0"/>
        <w:rPr>
          <w:rFonts w:hint="eastAsia"/>
          <w:color w:val="auto"/>
          <w:lang w:val="en-US" w:eastAsia="zh-CN"/>
        </w:rPr>
      </w:pPr>
      <w:r>
        <w:rPr>
          <w:rFonts w:hint="eastAsia"/>
          <w:color w:val="auto"/>
          <w:lang w:val="en-US" w:eastAsia="zh-CN"/>
        </w:rPr>
        <w:t>协助水质检测应符合以下要求：</w:t>
      </w:r>
    </w:p>
    <w:p>
      <w:pPr>
        <w:pStyle w:val="132"/>
        <w:bidi w:val="0"/>
        <w:rPr>
          <w:rFonts w:hint="eastAsia"/>
          <w:color w:val="auto"/>
          <w:lang w:val="en-US" w:eastAsia="zh-CN"/>
        </w:rPr>
      </w:pPr>
      <w:r>
        <w:rPr>
          <w:rFonts w:hint="eastAsia"/>
          <w:color w:val="auto"/>
          <w:lang w:val="en-US" w:eastAsia="zh-CN"/>
        </w:rPr>
        <w:t>供水设施清洗消毒完成后，及时提醒物业使用单位委托水质检测。</w:t>
      </w:r>
    </w:p>
    <w:p>
      <w:pPr>
        <w:pStyle w:val="132"/>
        <w:bidi w:val="0"/>
        <w:rPr>
          <w:rFonts w:hint="eastAsia"/>
          <w:color w:val="auto"/>
          <w:lang w:val="en-US" w:eastAsia="zh-CN"/>
        </w:rPr>
      </w:pPr>
      <w:r>
        <w:rPr>
          <w:rFonts w:hint="eastAsia"/>
          <w:color w:val="auto"/>
          <w:lang w:val="en-US" w:eastAsia="zh-CN"/>
        </w:rPr>
        <w:t>协助提供采样条件，配合检测机构现场取水。</w:t>
      </w:r>
    </w:p>
    <w:p>
      <w:pPr>
        <w:pStyle w:val="132"/>
        <w:bidi w:val="0"/>
        <w:rPr>
          <w:rFonts w:hint="eastAsia"/>
          <w:color w:val="auto"/>
          <w:lang w:val="en-US" w:eastAsia="zh-CN"/>
        </w:rPr>
      </w:pPr>
      <w:r>
        <w:rPr>
          <w:rFonts w:hint="eastAsia"/>
          <w:color w:val="auto"/>
          <w:lang w:val="en-US" w:eastAsia="zh-CN"/>
        </w:rPr>
        <w:t>水质检测结果不符合标准时，立即报告并协助采取应急措施。</w:t>
      </w:r>
    </w:p>
    <w:p>
      <w:pPr>
        <w:pStyle w:val="162"/>
        <w:bidi w:val="0"/>
        <w:rPr>
          <w:rFonts w:hint="default"/>
          <w:color w:val="auto"/>
          <w:lang w:val="en-US" w:eastAsia="zh-CN"/>
        </w:rPr>
      </w:pPr>
      <w:r>
        <w:rPr>
          <w:rFonts w:hint="eastAsia"/>
          <w:color w:val="auto"/>
          <w:lang w:val="en-US" w:eastAsia="zh-CN"/>
        </w:rPr>
        <w:t>符合资质要求的物业服务单位被物业使用单位委托实施所协助管理事项的，</w:t>
      </w:r>
      <w:r>
        <w:rPr>
          <w:color w:val="auto"/>
          <w:lang w:val="en-US" w:eastAsia="zh-CN"/>
        </w:rPr>
        <w:t>应符合 GB/T 43542 的规</w:t>
      </w:r>
      <w:r>
        <w:rPr>
          <w:rFonts w:hint="default"/>
          <w:color w:val="auto"/>
          <w:lang w:val="en-US" w:eastAsia="zh-CN"/>
        </w:rPr>
        <w:t xml:space="preserve">定。 </w:t>
      </w:r>
    </w:p>
    <w:p>
      <w:pPr>
        <w:pStyle w:val="104"/>
        <w:bidi w:val="0"/>
        <w:rPr>
          <w:rFonts w:hint="eastAsia"/>
          <w:color w:val="auto"/>
          <w:lang w:eastAsia="zh-CN"/>
        </w:rPr>
      </w:pPr>
      <w:bookmarkStart w:id="65" w:name="_Toc27492"/>
      <w:r>
        <w:rPr>
          <w:rFonts w:hint="eastAsia"/>
          <w:color w:val="auto"/>
          <w:lang w:eastAsia="zh-CN"/>
        </w:rPr>
        <w:t>服务管理</w:t>
      </w:r>
      <w:bookmarkEnd w:id="65"/>
    </w:p>
    <w:p>
      <w:pPr>
        <w:pStyle w:val="162"/>
        <w:bidi w:val="0"/>
        <w:rPr>
          <w:rFonts w:hint="default"/>
          <w:color w:val="auto"/>
          <w:lang w:val="en-US" w:eastAsia="zh-CN"/>
        </w:rPr>
      </w:pPr>
      <w:r>
        <w:rPr>
          <w:rFonts w:hint="eastAsia"/>
          <w:color w:val="auto"/>
          <w:lang w:val="en-US" w:eastAsia="zh-CN"/>
        </w:rPr>
        <w:t>应建立并实施相关管理制度，包括但不限于应急管理、节约能源资源管理、标识管理、信息化管理、保密管理和档案管理等。</w:t>
      </w:r>
    </w:p>
    <w:p>
      <w:pPr>
        <w:pStyle w:val="162"/>
        <w:bidi w:val="0"/>
        <w:rPr>
          <w:rFonts w:hint="default"/>
          <w:color w:val="auto"/>
          <w:lang w:val="en-US" w:eastAsia="zh-CN"/>
        </w:rPr>
      </w:pPr>
      <w:r>
        <w:rPr>
          <w:rFonts w:hint="eastAsia"/>
          <w:color w:val="auto"/>
          <w:lang w:val="en-US" w:eastAsia="zh-CN"/>
        </w:rPr>
        <w:t>客服管理应符合以下要求：</w:t>
      </w:r>
    </w:p>
    <w:p>
      <w:pPr>
        <w:pStyle w:val="132"/>
        <w:bidi w:val="0"/>
        <w:rPr>
          <w:color w:val="auto"/>
        </w:rPr>
      </w:pPr>
      <w:r>
        <w:rPr>
          <w:rFonts w:hint="eastAsia"/>
          <w:color w:val="auto"/>
          <w:lang w:val="en-US" w:eastAsia="zh-CN"/>
        </w:rPr>
        <w:t xml:space="preserve">应提供多种接待途径，包括但不限于现场接待、引导、接听电话及收发邮件及传真等。 </w:t>
      </w:r>
    </w:p>
    <w:p>
      <w:pPr>
        <w:pStyle w:val="132"/>
        <w:bidi w:val="0"/>
        <w:rPr>
          <w:color w:val="auto"/>
        </w:rPr>
      </w:pPr>
      <w:r>
        <w:rPr>
          <w:rFonts w:hint="eastAsia"/>
          <w:color w:val="auto"/>
          <w:lang w:val="en-US" w:eastAsia="zh-CN"/>
        </w:rPr>
        <w:t xml:space="preserve">应设立接待服务场所，配置专职服务人员，服务时应符合本文件4.2.4要求。 </w:t>
      </w:r>
    </w:p>
    <w:p>
      <w:pPr>
        <w:pStyle w:val="132"/>
        <w:bidi w:val="0"/>
        <w:rPr>
          <w:color w:val="auto"/>
        </w:rPr>
      </w:pPr>
      <w:r>
        <w:rPr>
          <w:rFonts w:hint="eastAsia"/>
          <w:color w:val="auto"/>
          <w:lang w:val="en-US" w:eastAsia="zh-CN"/>
        </w:rPr>
        <w:t>接待过程中受理的反馈事项，应及时处理或答复，处理和答复率100%，并做好记录。</w:t>
      </w:r>
    </w:p>
    <w:p>
      <w:pPr>
        <w:pStyle w:val="132"/>
        <w:bidi w:val="0"/>
        <w:rPr>
          <w:rFonts w:hint="eastAsia"/>
          <w:color w:val="auto"/>
          <w:lang w:val="en-US" w:eastAsia="zh-CN"/>
        </w:rPr>
      </w:pPr>
      <w:r>
        <w:rPr>
          <w:rFonts w:hint="eastAsia"/>
          <w:color w:val="auto"/>
          <w:lang w:val="en-US" w:eastAsia="zh-CN"/>
        </w:rPr>
        <w:t xml:space="preserve">接待服务工作时间应覆盖服务对象工作时间，其余时间设值班人员，并公布值班电话。 </w:t>
      </w:r>
    </w:p>
    <w:p>
      <w:pPr>
        <w:pStyle w:val="162"/>
        <w:bidi w:val="0"/>
        <w:rPr>
          <w:rFonts w:hint="default"/>
          <w:color w:val="auto"/>
          <w:lang w:val="en-US" w:eastAsia="zh-CN"/>
        </w:rPr>
      </w:pPr>
      <w:r>
        <w:rPr>
          <w:rFonts w:hint="eastAsia"/>
          <w:color w:val="auto"/>
          <w:lang w:val="en-US" w:eastAsia="zh-CN"/>
        </w:rPr>
        <w:t>应急管理应符合以下要求：</w:t>
      </w:r>
    </w:p>
    <w:p>
      <w:pPr>
        <w:pStyle w:val="132"/>
        <w:bidi w:val="0"/>
        <w:rPr>
          <w:rFonts w:hint="eastAsia"/>
          <w:color w:val="auto"/>
          <w:lang w:val="en-US" w:eastAsia="zh-CN"/>
        </w:rPr>
      </w:pPr>
      <w:r>
        <w:rPr>
          <w:rFonts w:hint="eastAsia"/>
          <w:color w:val="auto"/>
          <w:lang w:val="en-US" w:eastAsia="zh-CN"/>
        </w:rPr>
        <w:t>制定相关应急预案，包括但不限于特殊天气、防洪、防高温、消防、水电燃气事故、安全保卫、电梯困人、公共卫生疾病预防等情形。</w:t>
      </w:r>
    </w:p>
    <w:p>
      <w:pPr>
        <w:pStyle w:val="132"/>
        <w:bidi w:val="0"/>
        <w:rPr>
          <w:rFonts w:hint="eastAsia"/>
          <w:color w:val="auto"/>
          <w:lang w:val="en-US" w:eastAsia="zh-CN"/>
        </w:rPr>
      </w:pPr>
      <w:r>
        <w:rPr>
          <w:rFonts w:hint="eastAsia"/>
          <w:color w:val="auto"/>
          <w:lang w:val="en-US" w:eastAsia="zh-CN"/>
        </w:rPr>
        <w:t>应针对相关应急预案，定期开展演练，并做好演练记录和总结，动态调整应急预案。</w:t>
      </w:r>
    </w:p>
    <w:p>
      <w:pPr>
        <w:pStyle w:val="162"/>
        <w:bidi w:val="0"/>
        <w:rPr>
          <w:rFonts w:hint="eastAsia"/>
          <w:color w:val="auto"/>
          <w:highlight w:val="none"/>
          <w:lang w:val="en-US" w:eastAsia="zh-CN"/>
        </w:rPr>
      </w:pPr>
      <w:r>
        <w:rPr>
          <w:rFonts w:hint="eastAsia"/>
          <w:color w:val="auto"/>
          <w:highlight w:val="none"/>
          <w:lang w:val="en-US" w:eastAsia="zh-CN"/>
        </w:rPr>
        <w:t>节约能源资源机制应符合以下要求：</w:t>
      </w:r>
    </w:p>
    <w:p>
      <w:pPr>
        <w:pStyle w:val="132"/>
        <w:bidi w:val="0"/>
        <w:rPr>
          <w:color w:val="auto"/>
        </w:rPr>
      </w:pPr>
      <w:r>
        <w:rPr>
          <w:color w:val="auto"/>
          <w:lang w:val="en-US" w:eastAsia="zh-CN"/>
        </w:rPr>
        <w:t>应按照权责清晰、人员明确的原则设置能源资源管理岗位</w:t>
      </w:r>
      <w:r>
        <w:rPr>
          <w:rFonts w:hint="eastAsia"/>
          <w:color w:val="auto"/>
          <w:lang w:val="en-US" w:eastAsia="zh-CN"/>
        </w:rPr>
        <w:t>；</w:t>
      </w:r>
      <w:r>
        <w:rPr>
          <w:rFonts w:hint="default"/>
          <w:color w:val="auto"/>
          <w:lang w:val="en-US" w:eastAsia="zh-CN"/>
        </w:rPr>
        <w:t xml:space="preserve"> </w:t>
      </w:r>
    </w:p>
    <w:p>
      <w:pPr>
        <w:pStyle w:val="132"/>
        <w:bidi w:val="0"/>
        <w:rPr>
          <w:color w:val="auto"/>
        </w:rPr>
      </w:pPr>
      <w:r>
        <w:rPr>
          <w:rFonts w:hint="default"/>
          <w:color w:val="auto"/>
          <w:lang w:val="en-US" w:eastAsia="zh-CN"/>
        </w:rPr>
        <w:t>应</w:t>
      </w:r>
      <w:r>
        <w:rPr>
          <w:rFonts w:hint="eastAsia"/>
          <w:color w:val="auto"/>
          <w:lang w:val="en-US" w:eastAsia="zh-CN"/>
        </w:rPr>
        <w:t>根据合同约定，在授权范围内实施节能管理措施</w:t>
      </w:r>
      <w:r>
        <w:rPr>
          <w:rFonts w:hint="default"/>
          <w:color w:val="auto"/>
          <w:lang w:val="en-US" w:eastAsia="zh-CN"/>
        </w:rPr>
        <w:t xml:space="preserve">； </w:t>
      </w:r>
    </w:p>
    <w:p>
      <w:pPr>
        <w:pStyle w:val="132"/>
        <w:bidi w:val="0"/>
        <w:rPr>
          <w:color w:val="auto"/>
        </w:rPr>
      </w:pPr>
      <w:r>
        <w:rPr>
          <w:color w:val="auto"/>
          <w:lang w:val="en-US" w:eastAsia="zh-CN"/>
        </w:rPr>
        <w:t>应配合</w:t>
      </w:r>
      <w:r>
        <w:rPr>
          <w:rFonts w:hint="eastAsia"/>
          <w:color w:val="auto"/>
          <w:lang w:val="en-US" w:eastAsia="zh-CN"/>
        </w:rPr>
        <w:t>服务</w:t>
      </w:r>
      <w:r>
        <w:rPr>
          <w:color w:val="auto"/>
          <w:lang w:val="en-US" w:eastAsia="zh-CN"/>
        </w:rPr>
        <w:t>单位开展节能管理</w:t>
      </w:r>
      <w:r>
        <w:rPr>
          <w:rFonts w:hint="eastAsia"/>
          <w:color w:val="auto"/>
          <w:lang w:val="en-US" w:eastAsia="zh-CN"/>
        </w:rPr>
        <w:t>和宣贯</w:t>
      </w:r>
      <w:r>
        <w:rPr>
          <w:color w:val="auto"/>
          <w:lang w:val="en-US" w:eastAsia="zh-CN"/>
        </w:rPr>
        <w:t xml:space="preserve">活动，协助创建节约型公共机构。 </w:t>
      </w:r>
    </w:p>
    <w:p>
      <w:pPr>
        <w:pStyle w:val="162"/>
        <w:bidi w:val="0"/>
        <w:rPr>
          <w:rFonts w:hint="default"/>
          <w:color w:val="auto"/>
          <w:lang w:val="en-US" w:eastAsia="zh-CN"/>
        </w:rPr>
      </w:pPr>
      <w:r>
        <w:rPr>
          <w:rFonts w:hint="eastAsia"/>
          <w:color w:val="auto"/>
          <w:lang w:val="en-US" w:eastAsia="zh-CN"/>
        </w:rPr>
        <w:t>信息化管理应符合以下要求：</w:t>
      </w:r>
    </w:p>
    <w:p>
      <w:pPr>
        <w:pStyle w:val="132"/>
        <w:bidi w:val="0"/>
        <w:rPr>
          <w:color w:val="auto"/>
        </w:rPr>
      </w:pPr>
      <w:r>
        <w:rPr>
          <w:rFonts w:hint="eastAsia"/>
          <w:color w:val="auto"/>
          <w:lang w:val="en-US" w:eastAsia="zh-CN"/>
        </w:rPr>
        <w:t>鼓励采取措施推广信息技术的应用，并确保</w:t>
      </w:r>
      <w:r>
        <w:rPr>
          <w:rFonts w:hint="default"/>
          <w:color w:val="auto"/>
          <w:lang w:val="en-US" w:eastAsia="zh-CN"/>
        </w:rPr>
        <w:t>信息安全。</w:t>
      </w:r>
      <w:r>
        <w:rPr>
          <w:rFonts w:hint="eastAsia"/>
          <w:color w:val="auto"/>
          <w:lang w:val="en-US" w:eastAsia="zh-CN"/>
        </w:rPr>
        <w:t>如</w:t>
      </w:r>
      <w:r>
        <w:rPr>
          <w:color w:val="auto"/>
          <w:lang w:val="en-US" w:eastAsia="zh-CN"/>
        </w:rPr>
        <w:t>建立智慧物业管理平台实现物业日常服务管控</w:t>
      </w:r>
      <w:r>
        <w:rPr>
          <w:rFonts w:hint="eastAsia"/>
          <w:color w:val="auto"/>
          <w:lang w:val="en-US" w:eastAsia="zh-CN"/>
        </w:rPr>
        <w:t>。</w:t>
      </w:r>
      <w:r>
        <w:rPr>
          <w:rFonts w:hint="default"/>
          <w:color w:val="auto"/>
          <w:lang w:val="en-US" w:eastAsia="zh-CN"/>
        </w:rPr>
        <w:t xml:space="preserve"> </w:t>
      </w:r>
    </w:p>
    <w:p>
      <w:pPr>
        <w:pStyle w:val="132"/>
        <w:bidi w:val="0"/>
        <w:rPr>
          <w:color w:val="auto"/>
        </w:rPr>
      </w:pPr>
      <w:r>
        <w:rPr>
          <w:rFonts w:hint="default"/>
          <w:color w:val="auto"/>
          <w:lang w:val="en-US" w:eastAsia="zh-CN"/>
        </w:rPr>
        <w:t>在条件允许的情况下，</w:t>
      </w:r>
      <w:r>
        <w:rPr>
          <w:rFonts w:hint="eastAsia"/>
          <w:color w:val="auto"/>
          <w:lang w:val="en-US" w:eastAsia="zh-CN"/>
        </w:rPr>
        <w:t>应</w:t>
      </w:r>
      <w:r>
        <w:rPr>
          <w:rFonts w:hint="default"/>
          <w:color w:val="auto"/>
          <w:lang w:val="en-US" w:eastAsia="zh-CN"/>
        </w:rPr>
        <w:t>采取投入智能巡检、设备运行实时监测等科技手段，提升物业管理和服务效力</w:t>
      </w:r>
      <w:r>
        <w:rPr>
          <w:rFonts w:hint="eastAsia"/>
          <w:color w:val="auto"/>
          <w:lang w:val="en-US" w:eastAsia="zh-CN"/>
        </w:rPr>
        <w:t>效率</w:t>
      </w:r>
      <w:r>
        <w:rPr>
          <w:rFonts w:hint="default"/>
          <w:color w:val="auto"/>
          <w:lang w:val="en-US" w:eastAsia="zh-CN"/>
        </w:rPr>
        <w:t>。</w:t>
      </w:r>
    </w:p>
    <w:p>
      <w:pPr>
        <w:pStyle w:val="162"/>
        <w:bidi w:val="0"/>
        <w:rPr>
          <w:rFonts w:hint="eastAsia"/>
          <w:color w:val="auto"/>
          <w:highlight w:val="none"/>
          <w:lang w:val="en-US" w:eastAsia="zh-CN"/>
        </w:rPr>
      </w:pPr>
      <w:r>
        <w:rPr>
          <w:rFonts w:hint="eastAsia"/>
          <w:color w:val="auto"/>
          <w:highlight w:val="none"/>
          <w:lang w:val="en-US" w:eastAsia="zh-CN"/>
        </w:rPr>
        <w:t>标识管理应符合如下要求：</w:t>
      </w:r>
    </w:p>
    <w:p>
      <w:pPr>
        <w:pStyle w:val="132"/>
        <w:bidi w:val="0"/>
        <w:rPr>
          <w:color w:val="auto"/>
          <w:highlight w:val="none"/>
        </w:rPr>
      </w:pPr>
      <w:r>
        <w:rPr>
          <w:rFonts w:hint="eastAsia"/>
          <w:color w:val="auto"/>
          <w:highlight w:val="none"/>
          <w:lang w:val="en-US" w:eastAsia="zh-CN"/>
        </w:rPr>
        <w:t>及时告知或提醒物业使用单位按</w:t>
      </w:r>
      <w:r>
        <w:rPr>
          <w:rFonts w:hint="default"/>
          <w:color w:val="auto"/>
          <w:highlight w:val="none"/>
          <w:lang w:val="en-US" w:eastAsia="zh-CN"/>
        </w:rPr>
        <w:t>GB/T 10001</w:t>
      </w:r>
      <w:r>
        <w:rPr>
          <w:rFonts w:hint="eastAsia"/>
          <w:color w:val="auto"/>
          <w:highlight w:val="none"/>
          <w:lang w:val="en-US" w:eastAsia="zh-CN"/>
        </w:rPr>
        <w:t>.1规定使用</w:t>
      </w:r>
      <w:r>
        <w:rPr>
          <w:rFonts w:hint="default"/>
          <w:color w:val="auto"/>
          <w:highlight w:val="none"/>
          <w:lang w:val="en-US" w:eastAsia="zh-CN"/>
        </w:rPr>
        <w:t>公共信息图形符号</w:t>
      </w:r>
      <w:r>
        <w:rPr>
          <w:rFonts w:hint="eastAsia"/>
          <w:color w:val="auto"/>
          <w:highlight w:val="none"/>
          <w:lang w:val="en-US" w:eastAsia="zh-CN"/>
        </w:rPr>
        <w:t>、按</w:t>
      </w:r>
      <w:r>
        <w:rPr>
          <w:rFonts w:hint="default"/>
          <w:color w:val="auto"/>
          <w:highlight w:val="none"/>
          <w:lang w:val="en-US" w:eastAsia="zh-CN"/>
        </w:rPr>
        <w:t>GB 2894、GB 13495.1的</w:t>
      </w:r>
      <w:r>
        <w:rPr>
          <w:rFonts w:hint="eastAsia"/>
          <w:color w:val="auto"/>
          <w:highlight w:val="none"/>
          <w:lang w:val="en-US" w:eastAsia="zh-CN"/>
        </w:rPr>
        <w:t>规定设置</w:t>
      </w:r>
      <w:r>
        <w:rPr>
          <w:rFonts w:hint="default"/>
          <w:color w:val="auto"/>
          <w:highlight w:val="none"/>
          <w:lang w:val="en-US" w:eastAsia="zh-CN"/>
        </w:rPr>
        <w:t xml:space="preserve">消防与安全标识。 </w:t>
      </w:r>
    </w:p>
    <w:p>
      <w:pPr>
        <w:pStyle w:val="132"/>
        <w:bidi w:val="0"/>
        <w:rPr>
          <w:color w:val="auto"/>
          <w:highlight w:val="none"/>
        </w:rPr>
      </w:pPr>
      <w:r>
        <w:rPr>
          <w:color w:val="auto"/>
          <w:highlight w:val="none"/>
          <w:lang w:val="en-US" w:eastAsia="zh-CN"/>
        </w:rPr>
        <w:t>遵循</w:t>
      </w:r>
      <w:r>
        <w:rPr>
          <w:rFonts w:hint="eastAsia"/>
          <w:color w:val="auto"/>
          <w:highlight w:val="none"/>
          <w:lang w:val="en-US" w:eastAsia="zh-CN"/>
        </w:rPr>
        <w:t>准确、</w:t>
      </w:r>
      <w:r>
        <w:rPr>
          <w:color w:val="auto"/>
          <w:highlight w:val="none"/>
          <w:lang w:val="en-US" w:eastAsia="zh-CN"/>
        </w:rPr>
        <w:t>安全、醒目、协调、便利的原则设置</w:t>
      </w:r>
      <w:r>
        <w:rPr>
          <w:rFonts w:hint="eastAsia"/>
          <w:color w:val="auto"/>
          <w:highlight w:val="none"/>
          <w:lang w:val="en-US" w:eastAsia="zh-CN"/>
        </w:rPr>
        <w:t>安全提醒类</w:t>
      </w:r>
      <w:r>
        <w:rPr>
          <w:color w:val="auto"/>
          <w:highlight w:val="none"/>
          <w:lang w:val="en-US" w:eastAsia="zh-CN"/>
        </w:rPr>
        <w:t xml:space="preserve">标识。 </w:t>
      </w:r>
    </w:p>
    <w:p>
      <w:pPr>
        <w:pStyle w:val="132"/>
        <w:bidi w:val="0"/>
        <w:rPr>
          <w:rFonts w:hint="eastAsia"/>
          <w:color w:val="auto"/>
          <w:highlight w:val="none"/>
          <w:lang w:val="en-US" w:eastAsia="zh-CN"/>
        </w:rPr>
      </w:pPr>
      <w:r>
        <w:rPr>
          <w:rFonts w:hint="default"/>
          <w:color w:val="auto"/>
          <w:highlight w:val="none"/>
          <w:lang w:val="en-US" w:eastAsia="zh-CN"/>
        </w:rPr>
        <w:t>定期检查各类标识，确保标志标牌规范清晰。</w:t>
      </w:r>
    </w:p>
    <w:p>
      <w:pPr>
        <w:pStyle w:val="162"/>
        <w:bidi w:val="0"/>
        <w:rPr>
          <w:rFonts w:hint="eastAsia"/>
          <w:color w:val="auto"/>
          <w:lang w:val="en-US" w:eastAsia="zh-CN"/>
        </w:rPr>
      </w:pPr>
      <w:r>
        <w:rPr>
          <w:rFonts w:hint="eastAsia"/>
          <w:color w:val="auto"/>
          <w:lang w:val="en-US" w:eastAsia="zh-CN"/>
        </w:rPr>
        <w:t>保密管理应符合如下要求：</w:t>
      </w:r>
    </w:p>
    <w:p>
      <w:pPr>
        <w:pStyle w:val="132"/>
        <w:bidi w:val="0"/>
        <w:rPr>
          <w:rFonts w:hint="eastAsia"/>
          <w:color w:val="auto"/>
          <w:lang w:val="en-US" w:eastAsia="zh-CN"/>
        </w:rPr>
      </w:pPr>
      <w:r>
        <w:rPr>
          <w:rFonts w:hint="eastAsia"/>
          <w:color w:val="auto"/>
          <w:lang w:val="en-US" w:eastAsia="zh-CN"/>
        </w:rPr>
        <w:t>定期对服务人员进行保密教育和培训，培养服务人员保密意识。</w:t>
      </w:r>
    </w:p>
    <w:p>
      <w:pPr>
        <w:pStyle w:val="132"/>
        <w:bidi w:val="0"/>
        <w:rPr>
          <w:color w:val="auto"/>
        </w:rPr>
      </w:pPr>
      <w:r>
        <w:rPr>
          <w:rFonts w:hint="eastAsia"/>
          <w:color w:val="auto"/>
          <w:lang w:val="en-US" w:eastAsia="zh-CN"/>
        </w:rPr>
        <w:t xml:space="preserve">涉密工作岗位和服务人员应签订保密协议。 </w:t>
      </w:r>
    </w:p>
    <w:p>
      <w:pPr>
        <w:pStyle w:val="132"/>
        <w:bidi w:val="0"/>
        <w:rPr>
          <w:rFonts w:hint="eastAsia"/>
          <w:color w:val="auto"/>
          <w:lang w:val="en-US" w:eastAsia="zh-CN"/>
        </w:rPr>
      </w:pPr>
      <w:r>
        <w:rPr>
          <w:rFonts w:hint="eastAsia"/>
          <w:color w:val="auto"/>
          <w:lang w:val="en-US" w:eastAsia="zh-CN"/>
        </w:rPr>
        <w:t>清理办公室文件、资料、报纸、杂志、书籍等，应经有关领导同意且有工作人员陪同。</w:t>
      </w:r>
    </w:p>
    <w:p>
      <w:pPr>
        <w:pStyle w:val="132"/>
        <w:bidi w:val="0"/>
        <w:rPr>
          <w:color w:val="auto"/>
        </w:rPr>
      </w:pPr>
      <w:r>
        <w:rPr>
          <w:rFonts w:hint="eastAsia"/>
          <w:color w:val="auto"/>
          <w:lang w:val="en-US" w:eastAsia="zh-CN"/>
        </w:rPr>
        <w:t>服务过程中，不应翻阅、拍照、复制、抄录文件、资料。</w:t>
      </w:r>
    </w:p>
    <w:p>
      <w:pPr>
        <w:pStyle w:val="132"/>
        <w:bidi w:val="0"/>
        <w:rPr>
          <w:color w:val="auto"/>
        </w:rPr>
      </w:pPr>
      <w:r>
        <w:rPr>
          <w:rFonts w:hint="eastAsia"/>
          <w:color w:val="auto"/>
          <w:lang w:val="en-US" w:eastAsia="zh-CN"/>
        </w:rPr>
        <w:t xml:space="preserve">不应以任何形式传播、泄露文件内容。 </w:t>
      </w:r>
    </w:p>
    <w:p>
      <w:pPr>
        <w:pStyle w:val="132"/>
        <w:bidi w:val="0"/>
        <w:rPr>
          <w:color w:val="auto"/>
        </w:rPr>
      </w:pPr>
      <w:r>
        <w:rPr>
          <w:rFonts w:hint="eastAsia"/>
          <w:color w:val="auto"/>
          <w:lang w:val="en-US" w:eastAsia="zh-CN"/>
        </w:rPr>
        <w:t>捡拾到涉密文件或内部资料，应按规定及时上交。</w:t>
      </w:r>
    </w:p>
    <w:p>
      <w:pPr>
        <w:pStyle w:val="162"/>
        <w:bidi w:val="0"/>
        <w:rPr>
          <w:rFonts w:hint="default"/>
          <w:color w:val="auto"/>
          <w:lang w:val="en-US" w:eastAsia="zh-CN"/>
        </w:rPr>
      </w:pPr>
      <w:r>
        <w:rPr>
          <w:rFonts w:hint="eastAsia"/>
          <w:color w:val="auto"/>
          <w:lang w:val="en-US" w:eastAsia="zh-CN"/>
        </w:rPr>
        <w:t>档案管理应符合以下要求：</w:t>
      </w:r>
    </w:p>
    <w:p>
      <w:pPr>
        <w:pStyle w:val="132"/>
        <w:bidi w:val="0"/>
        <w:rPr>
          <w:color w:val="auto"/>
        </w:rPr>
      </w:pPr>
      <w:r>
        <w:rPr>
          <w:rFonts w:hint="eastAsia"/>
          <w:color w:val="auto"/>
          <w:lang w:val="en-US" w:eastAsia="zh-CN"/>
        </w:rPr>
        <w:t xml:space="preserve">建立物业信息和档案管理制度，准确、系统、及时地对文件资料和服务记录进行归档保存。 </w:t>
      </w:r>
    </w:p>
    <w:p>
      <w:pPr>
        <w:pStyle w:val="132"/>
        <w:bidi w:val="0"/>
        <w:rPr>
          <w:color w:val="auto"/>
        </w:rPr>
      </w:pPr>
      <w:r>
        <w:rPr>
          <w:rFonts w:hint="eastAsia"/>
          <w:color w:val="auto"/>
          <w:lang w:val="en-US" w:eastAsia="zh-CN"/>
        </w:rPr>
        <w:t xml:space="preserve">档案内容应包括物业档案（如工程竣工验收、项目竣工综合验收、物业承接查验、设备设施技术资料等基础档案和技术档案）和物业服务档案（包括物业运行、物业维修、物业服务、投诉处理等记录档案）。 </w:t>
      </w:r>
    </w:p>
    <w:p>
      <w:pPr>
        <w:pStyle w:val="132"/>
        <w:bidi w:val="0"/>
        <w:rPr>
          <w:rFonts w:hint="eastAsia"/>
          <w:color w:val="auto"/>
          <w:lang w:val="en-US" w:eastAsia="zh-CN"/>
        </w:rPr>
      </w:pPr>
      <w:r>
        <w:rPr>
          <w:rFonts w:hint="eastAsia"/>
          <w:color w:val="auto"/>
          <w:lang w:val="en-US" w:eastAsia="zh-CN"/>
        </w:rPr>
        <w:t>信息、档案资料应收集完整，方便查阅。</w:t>
      </w:r>
    </w:p>
    <w:p>
      <w:pPr>
        <w:pStyle w:val="132"/>
        <w:bidi w:val="0"/>
        <w:rPr>
          <w:rFonts w:hint="default"/>
          <w:color w:val="auto"/>
          <w:lang w:val="en-US" w:eastAsia="zh-CN"/>
        </w:rPr>
      </w:pPr>
      <w:r>
        <w:rPr>
          <w:rFonts w:hint="eastAsia"/>
          <w:color w:val="auto"/>
          <w:lang w:val="en-US" w:eastAsia="zh-CN"/>
        </w:rPr>
        <w:t>应遵守服务单位的信息、档案资料保密要求，未经许可不得将资料内容转作其他用途。</w:t>
      </w:r>
    </w:p>
    <w:p>
      <w:pPr>
        <w:pStyle w:val="104"/>
        <w:bidi w:val="0"/>
        <w:rPr>
          <w:rFonts w:hint="eastAsia"/>
          <w:color w:val="auto"/>
          <w:lang w:eastAsia="zh-CN"/>
        </w:rPr>
      </w:pPr>
      <w:bookmarkStart w:id="66" w:name="_Toc32259"/>
      <w:r>
        <w:rPr>
          <w:rFonts w:hint="eastAsia"/>
          <w:color w:val="auto"/>
          <w:lang w:eastAsia="zh-CN"/>
        </w:rPr>
        <w:t>服务</w:t>
      </w:r>
      <w:r>
        <w:rPr>
          <w:rFonts w:hint="eastAsia"/>
          <w:color w:val="auto"/>
          <w:lang w:val="en-US" w:eastAsia="zh-CN"/>
        </w:rPr>
        <w:t>监督</w:t>
      </w:r>
      <w:r>
        <w:rPr>
          <w:rFonts w:hint="eastAsia"/>
          <w:color w:val="auto"/>
          <w:lang w:eastAsia="zh-CN"/>
        </w:rPr>
        <w:t>与改进</w:t>
      </w:r>
      <w:bookmarkEnd w:id="66"/>
    </w:p>
    <w:p>
      <w:pPr>
        <w:pStyle w:val="162"/>
        <w:bidi w:val="0"/>
        <w:rPr>
          <w:rFonts w:hint="eastAsia"/>
          <w:color w:val="auto"/>
          <w:lang w:eastAsia="zh-CN"/>
        </w:rPr>
      </w:pPr>
      <w:r>
        <w:rPr>
          <w:rFonts w:hint="eastAsia"/>
          <w:color w:val="auto"/>
        </w:rPr>
        <w:t>应建立服务质量</w:t>
      </w:r>
      <w:r>
        <w:rPr>
          <w:rFonts w:hint="eastAsia"/>
          <w:color w:val="auto"/>
          <w:lang w:val="en-US" w:eastAsia="zh-CN"/>
        </w:rPr>
        <w:t>监督</w:t>
      </w:r>
      <w:r>
        <w:rPr>
          <w:rFonts w:hint="eastAsia"/>
          <w:color w:val="auto"/>
        </w:rPr>
        <w:t>机制，定期对</w:t>
      </w:r>
      <w:r>
        <w:rPr>
          <w:rFonts w:hint="eastAsia"/>
          <w:color w:val="auto"/>
          <w:lang w:val="en-US" w:eastAsia="zh-CN"/>
        </w:rPr>
        <w:t>物业</w:t>
      </w:r>
      <w:r>
        <w:rPr>
          <w:rFonts w:hint="eastAsia"/>
          <w:color w:val="auto"/>
        </w:rPr>
        <w:t>服务过程和服务效果进行</w:t>
      </w:r>
      <w:r>
        <w:rPr>
          <w:rFonts w:hint="eastAsia"/>
          <w:color w:val="auto"/>
          <w:lang w:val="en-US" w:eastAsia="zh-CN"/>
        </w:rPr>
        <w:t>内部监督</w:t>
      </w:r>
      <w:r>
        <w:rPr>
          <w:rFonts w:hint="eastAsia"/>
          <w:color w:val="auto"/>
        </w:rPr>
        <w:t>和评估</w:t>
      </w:r>
      <w:r>
        <w:rPr>
          <w:rFonts w:hint="eastAsia"/>
          <w:color w:val="auto"/>
          <w:lang w:eastAsia="zh-CN"/>
        </w:rPr>
        <w:t>。</w:t>
      </w:r>
    </w:p>
    <w:p>
      <w:pPr>
        <w:pStyle w:val="162"/>
        <w:bidi w:val="0"/>
        <w:rPr>
          <w:rFonts w:hint="eastAsia"/>
          <w:color w:val="auto"/>
        </w:rPr>
      </w:pPr>
      <w:r>
        <w:rPr>
          <w:rFonts w:hint="eastAsia"/>
          <w:color w:val="auto"/>
          <w:lang w:val="en-US" w:eastAsia="zh-CN"/>
        </w:rPr>
        <w:t>应</w:t>
      </w:r>
      <w:r>
        <w:rPr>
          <w:rFonts w:hint="eastAsia"/>
          <w:color w:val="auto"/>
        </w:rPr>
        <w:t>设立意见箱和线上反馈渠道，以收集相关方意见建议。对反馈意见建立台账，及时响应并反馈。</w:t>
      </w:r>
    </w:p>
    <w:p>
      <w:pPr>
        <w:pStyle w:val="162"/>
        <w:bidi w:val="0"/>
        <w:rPr>
          <w:rFonts w:hint="eastAsia"/>
          <w:color w:val="auto"/>
        </w:rPr>
      </w:pPr>
      <w:r>
        <w:rPr>
          <w:rFonts w:hint="eastAsia"/>
          <w:color w:val="auto"/>
        </w:rPr>
        <w:t>应定期开展服务满意度调查，征求相关方对</w:t>
      </w:r>
      <w:r>
        <w:rPr>
          <w:rFonts w:hint="eastAsia"/>
          <w:color w:val="auto"/>
          <w:lang w:val="en-US" w:eastAsia="zh-CN"/>
        </w:rPr>
        <w:t>物业</w:t>
      </w:r>
      <w:r>
        <w:rPr>
          <w:rFonts w:hint="eastAsia"/>
          <w:color w:val="auto"/>
        </w:rPr>
        <w:t>服务的意见和建议，不断优化服务质量。可引进第三方机构开展</w:t>
      </w:r>
      <w:r>
        <w:rPr>
          <w:rFonts w:hint="eastAsia"/>
          <w:color w:val="auto"/>
          <w:lang w:val="en-US" w:eastAsia="zh-CN"/>
        </w:rPr>
        <w:t>物业服务满意度调查</w:t>
      </w:r>
      <w:r>
        <w:rPr>
          <w:rFonts w:hint="eastAsia"/>
          <w:color w:val="auto"/>
        </w:rPr>
        <w:t>工作，增强独立性和公正性。</w:t>
      </w:r>
    </w:p>
    <w:p>
      <w:pPr>
        <w:pStyle w:val="162"/>
        <w:bidi w:val="0"/>
        <w:rPr>
          <w:rFonts w:hint="eastAsia"/>
          <w:color w:val="auto"/>
          <w:lang w:eastAsia="zh-CN"/>
        </w:rPr>
      </w:pPr>
      <w:r>
        <w:rPr>
          <w:rFonts w:hint="eastAsia"/>
          <w:color w:val="auto"/>
        </w:rPr>
        <w:t>应根据满意度测评、内外部评价、投诉处理和意见反馈等情况，</w:t>
      </w:r>
      <w:r>
        <w:rPr>
          <w:rFonts w:hint="eastAsia"/>
          <w:color w:val="auto"/>
          <w:lang w:val="en-US" w:eastAsia="zh-CN"/>
        </w:rPr>
        <w:t>按</w:t>
      </w:r>
      <w:r>
        <w:rPr>
          <w:color w:val="auto"/>
          <w:lang w:val="en-US" w:eastAsia="zh-CN"/>
        </w:rPr>
        <w:t>GB/T 43542 的规</w:t>
      </w:r>
      <w:r>
        <w:rPr>
          <w:rFonts w:hint="default"/>
          <w:color w:val="auto"/>
          <w:lang w:val="en-US" w:eastAsia="zh-CN"/>
        </w:rPr>
        <w:t>定</w:t>
      </w:r>
      <w:r>
        <w:rPr>
          <w:rFonts w:hint="eastAsia"/>
          <w:color w:val="auto"/>
          <w:lang w:val="en-US" w:eastAsia="zh-CN"/>
        </w:rPr>
        <w:t>，</w:t>
      </w:r>
      <w:r>
        <w:rPr>
          <w:rFonts w:hint="eastAsia"/>
          <w:color w:val="auto"/>
        </w:rPr>
        <w:t>统计分析</w:t>
      </w:r>
      <w:r>
        <w:rPr>
          <w:rFonts w:hint="eastAsia"/>
          <w:color w:val="auto"/>
          <w:lang w:val="en-US" w:eastAsia="zh-CN"/>
        </w:rPr>
        <w:t>物业</w:t>
      </w:r>
      <w:r>
        <w:rPr>
          <w:rFonts w:hint="eastAsia"/>
          <w:color w:val="auto"/>
        </w:rPr>
        <w:t>服务质量、查找问题原因，制定整改措施。应对整改措施的有效性和实施效果进行跟踪，持续改进</w:t>
      </w:r>
      <w:r>
        <w:rPr>
          <w:rFonts w:hint="eastAsia"/>
          <w:color w:val="auto"/>
          <w:lang w:val="en-US" w:eastAsia="zh-CN"/>
        </w:rPr>
        <w:t>物业</w:t>
      </w:r>
      <w:r>
        <w:rPr>
          <w:rFonts w:hint="eastAsia"/>
          <w:color w:val="auto"/>
        </w:rPr>
        <w:t>服务质量。</w:t>
      </w:r>
    </w:p>
    <w:bookmarkEnd w:id="24"/>
    <w:p>
      <w:pPr>
        <w:pStyle w:val="56"/>
        <w:bidi w:val="0"/>
        <w:ind w:firstLine="0" w:firstLineChars="0"/>
        <w:jc w:val="center"/>
        <w:rPr>
          <w:rFonts w:hint="eastAsia"/>
          <w:lang w:eastAsia="zh-CN"/>
        </w:rPr>
      </w:pPr>
      <w:bookmarkStart w:id="67" w:name="BookMark8"/>
      <w:r>
        <w:rPr>
          <w:rFonts w:hint="eastAsia"/>
          <w:lang w:eastAsia="zh-CN"/>
        </w:rPr>
        <w:drawing>
          <wp:inline distT="0" distB="0" distL="114300" distR="114300">
            <wp:extent cx="1485900" cy="317500"/>
            <wp:effectExtent l="0" t="0" r="0" b="6350"/>
            <wp:docPr id="1" name="图片 1" descr="1"/>
            <wp:cNvGraphicFramePr/>
            <a:graphic xmlns:a="http://schemas.openxmlformats.org/drawingml/2006/main">
              <a:graphicData uri="http://schemas.openxmlformats.org/drawingml/2006/picture">
                <pic:pic xmlns:pic="http://schemas.openxmlformats.org/drawingml/2006/picture">
                  <pic:nvPicPr>
                    <pic:cNvPr id="1" name="图片 1" descr="1"/>
                    <pic:cNvPicPr/>
                  </pic:nvPicPr>
                  <pic:blipFill>
                    <a:blip r:embed="rId14"/>
                    <a:stretch>
                      <a:fillRect/>
                    </a:stretch>
                  </pic:blipFill>
                  <pic:spPr>
                    <a:xfrm>
                      <a:off x="0" y="0"/>
                      <a:ext cx="1485900" cy="317500"/>
                    </a:xfrm>
                    <a:prstGeom prst="rect">
                      <a:avLst/>
                    </a:prstGeom>
                  </pic:spPr>
                </pic:pic>
              </a:graphicData>
            </a:graphic>
          </wp:inline>
        </w:drawing>
      </w:r>
      <w:bookmarkEnd w:id="67"/>
    </w:p>
    <w:sectPr>
      <w:pgSz w:w="11906" w:h="16838"/>
      <w:pgMar w:top="1928" w:right="1134" w:bottom="1134" w:left="1134" w:header="1418" w:footer="1134" w:gutter="284"/>
      <w:pgNumType w:start="1"/>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T Extra"/>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宋体"/>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Arial Unicode MS">
    <w:altName w:val="宋体"/>
    <w:panose1 w:val="020B0604020202020204"/>
    <w:charset w:val="86"/>
    <w:family w:val="swiss"/>
    <w:pitch w:val="default"/>
    <w:sig w:usb0="00000000" w:usb1="00000000" w:usb2="0000003F" w:usb3="00000000" w:csb0="003F01FF" w:csb1="00000000"/>
  </w:font>
  <w:font w:name="瀹嬩綋">
    <w:altName w:val="URW Bookman"/>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NanumGothic">
    <w:panose1 w:val="020D0604000000000000"/>
    <w:charset w:val="81"/>
    <w:family w:val="auto"/>
    <w:pitch w:val="default"/>
    <w:sig w:usb0="900002A7" w:usb1="29D7FCFB" w:usb2="00000010" w:usb3="00000000" w:csb0="00080001" w:csb1="00000000"/>
  </w:font>
  <w:font w:name="URW Bookman">
    <w:altName w:val="Times New Roman"/>
    <w:panose1 w:val="00000400000000000000"/>
    <w:charset w:val="00"/>
    <w:family w:val="auto"/>
    <w:pitch w:val="default"/>
    <w:sig w:usb0="00000000" w:usb1="00000000" w:usb2="00000000" w:usb3="00000000" w:csb0="0000000D" w:csb1="00000000"/>
  </w:font>
  <w:font w:name="MT Extra">
    <w:panose1 w:val="020006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w:fldChar w:fldCharType="begin"/>
    </w:r>
    <w:r>
      <w:instrText xml:space="preserve">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both"/>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1"/>
      <w:rPr>
        <w:rFonts w:hint="eastAsia"/>
      </w:rPr>
    </w:pPr>
    <w:r>
      <w:fldChar w:fldCharType="begin"/>
    </w:r>
    <w:r>
      <w:instrText xml:space="preserve"> STYLEREF  标准文件_文件编号  \* MERGEFORMAT </w:instrText>
    </w:r>
    <w:r>
      <w:fldChar w:fldCharType="separate"/>
    </w:r>
    <w:r>
      <w:t>DB43/T XXXX—XXXX</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right"/>
      <w:rPr>
        <w:lang w:val="fr-FR"/>
      </w:rPr>
    </w:pPr>
    <w:r>
      <w:fldChar w:fldCharType="begin"/>
    </w:r>
    <w:r>
      <w:rPr>
        <w:lang w:val="fr-FR"/>
      </w:rPr>
      <w:instrText xml:space="preserve"> STYLEREF  </w:instrText>
    </w:r>
    <w:r>
      <w:instrText xml:space="preserve">标准文件</w:instrText>
    </w:r>
    <w:r>
      <w:rPr>
        <w:lang w:val="fr-FR"/>
      </w:rPr>
      <w:instrText xml:space="preserve">_</w:instrText>
    </w:r>
    <w:r>
      <w:instrText xml:space="preserve">文件编号</w:instrText>
    </w:r>
    <w:r>
      <w:rPr>
        <w:lang w:val="fr-FR"/>
      </w:rPr>
      <w:instrText xml:space="preserve">  \* MERGEFORMAT </w:instrText>
    </w:r>
    <w:r>
      <w:fldChar w:fldCharType="separate"/>
    </w:r>
    <w:r>
      <w:rPr>
        <w:lang w:val="fr-FR"/>
      </w:rPr>
      <w:t>DB43/T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4"/>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4"/>
      <w:lvlText w:val="%1)"/>
      <w:lvlJc w:val="left"/>
      <w:pPr>
        <w:tabs>
          <w:tab w:val="left" w:pos="851"/>
        </w:tabs>
        <w:ind w:left="851" w:hanging="426"/>
      </w:pPr>
      <w:rPr>
        <w:rFonts w:hint="eastAsia" w:ascii="宋体" w:hAnsi="Times New Roman" w:eastAsia="宋体"/>
        <w:sz w:val="21"/>
      </w:rPr>
    </w:lvl>
    <w:lvl w:ilvl="1" w:tentative="0">
      <w:start w:val="1"/>
      <w:numFmt w:val="decimal"/>
      <w:pStyle w:val="109"/>
      <w:lvlText w:val="%2)"/>
      <w:lvlJc w:val="left"/>
      <w:pPr>
        <w:tabs>
          <w:tab w:val="left" w:pos="1276"/>
        </w:tabs>
        <w:ind w:left="1276" w:hanging="425"/>
      </w:pPr>
      <w:rPr>
        <w:rFonts w:hint="eastAsia" w:ascii="宋体" w:hAnsi="Times New Roman" w:eastAsia="宋体"/>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3"/>
      <w:suff w:val="space"/>
      <w:lvlText w:val="图%1.%2 "/>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7"/>
      <w:suff w:val="space"/>
      <w:lvlText w:val="表%1.%2 "/>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2"/>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6"/>
      <w:suff w:val="nothing"/>
      <w:lvlText w:val="附录%1"/>
      <w:lvlJc w:val="left"/>
      <w:pPr>
        <w:ind w:left="0" w:firstLine="0"/>
      </w:pPr>
      <w:rPr>
        <w:rFonts w:hint="eastAsia"/>
        <w:spacing w:val="100"/>
      </w:rPr>
    </w:lvl>
    <w:lvl w:ilvl="1" w:tentative="0">
      <w:start w:val="1"/>
      <w:numFmt w:val="decimal"/>
      <w:pStyle w:val="78"/>
      <w:suff w:val="nothing"/>
      <w:lvlText w:val="%1.%2　"/>
      <w:lvlJc w:val="left"/>
      <w:pPr>
        <w:ind w:left="0" w:firstLine="0"/>
      </w:pPr>
      <w:rPr>
        <w:rFonts w:hint="eastAsia" w:ascii="黑体" w:eastAsia="黑体"/>
        <w:b w:val="0"/>
        <w:i w:val="0"/>
        <w:sz w:val="21"/>
      </w:rPr>
    </w:lvl>
    <w:lvl w:ilvl="2" w:tentative="0">
      <w:start w:val="1"/>
      <w:numFmt w:val="decimal"/>
      <w:pStyle w:val="79"/>
      <w:suff w:val="nothing"/>
      <w:lvlText w:val="%1.%2.%3　"/>
      <w:lvlJc w:val="left"/>
      <w:pPr>
        <w:ind w:left="0" w:firstLine="0"/>
      </w:pPr>
      <w:rPr>
        <w:rFonts w:hint="eastAsia" w:ascii="黑体" w:eastAsia="黑体"/>
        <w:b w:val="0"/>
        <w:i w:val="0"/>
        <w:sz w:val="21"/>
      </w:rPr>
    </w:lvl>
    <w:lvl w:ilvl="3" w:tentative="0">
      <w:start w:val="1"/>
      <w:numFmt w:val="decimal"/>
      <w:pStyle w:val="81"/>
      <w:suff w:val="nothing"/>
      <w:lvlText w:val="%1.%2.%3.%4　"/>
      <w:lvlJc w:val="left"/>
      <w:pPr>
        <w:ind w:left="0"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pStyle w:val="8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0" w:firstLine="0"/>
      </w:pPr>
      <w:rPr>
        <w:rFonts w:hint="eastAsia" w:ascii="黑体" w:eastAsia="黑体"/>
        <w:b w:val="0"/>
        <w:i w:val="0"/>
        <w:sz w:val="21"/>
      </w:rPr>
    </w:lvl>
    <w:lvl w:ilvl="2" w:tentative="0">
      <w:start w:val="1"/>
      <w:numFmt w:val="decimal"/>
      <w:pStyle w:val="10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3" w:tentative="0">
      <w:start w:val="1"/>
      <w:numFmt w:val="decimal"/>
      <w:pStyle w:val="65"/>
      <w:suff w:val="nothing"/>
      <w:lvlText w:val="%1%2.%3.%4　"/>
      <w:lvlJc w:val="left"/>
      <w:pPr>
        <w:ind w:left="0" w:firstLine="0"/>
      </w:pPr>
      <w:rPr>
        <w:rFonts w:hint="eastAsia" w:ascii="黑体" w:eastAsia="黑体"/>
        <w:b w:val="0"/>
        <w:i w:val="0"/>
        <w:sz w:val="21"/>
      </w:rPr>
    </w:lvl>
    <w:lvl w:ilvl="4" w:tentative="0">
      <w:start w:val="1"/>
      <w:numFmt w:val="decimal"/>
      <w:pStyle w:val="94"/>
      <w:suff w:val="nothing"/>
      <w:lvlText w:val="%1%2.%3.%4.%5　"/>
      <w:lvlJc w:val="left"/>
      <w:pPr>
        <w:ind w:left="0"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false"/>
  <w:bordersDoNotSurroundFooter w:val="false"/>
  <w:attachedTemplate r:id="rId1"/>
  <w:documentProtection w:edit="forms" w:enforcement="1" w:cryptProviderType="rsaFull" w:cryptAlgorithmClass="hash" w:cryptAlgorithmType="typeAny" w:cryptAlgorithmSid="4" w:cryptSpinCount="0" w:hash="QbyndEdPRRY5oGC7oglJuIQFeXM=" w:salt="EPOpsUB3JnFO5uBnHH6aEA=="/>
  <w:defaultTabStop w:val="420"/>
  <w:drawingGridHorizontalSpacing w:val="105"/>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9604C9"/>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F06E1"/>
    <w:rsid w:val="000F0E3C"/>
    <w:rsid w:val="000F19D5"/>
    <w:rsid w:val="000F4AEA"/>
    <w:rsid w:val="000F633F"/>
    <w:rsid w:val="000F67E9"/>
    <w:rsid w:val="00104926"/>
    <w:rsid w:val="00113B1E"/>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51161"/>
    <w:rsid w:val="0015225F"/>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90087"/>
    <w:rsid w:val="001913C4"/>
    <w:rsid w:val="0019348F"/>
    <w:rsid w:val="00193A07"/>
    <w:rsid w:val="00194C95"/>
    <w:rsid w:val="00195C34"/>
    <w:rsid w:val="00196EF5"/>
    <w:rsid w:val="001A1A53"/>
    <w:rsid w:val="001A234A"/>
    <w:rsid w:val="001A4CF3"/>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10B15"/>
    <w:rsid w:val="002142EA"/>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771A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D2A"/>
    <w:rsid w:val="00324EDD"/>
    <w:rsid w:val="003331E4"/>
    <w:rsid w:val="00336C64"/>
    <w:rsid w:val="00337162"/>
    <w:rsid w:val="0034194F"/>
    <w:rsid w:val="00344605"/>
    <w:rsid w:val="003474AA"/>
    <w:rsid w:val="00350D1D"/>
    <w:rsid w:val="00352C83"/>
    <w:rsid w:val="003615D2"/>
    <w:rsid w:val="0036429C"/>
    <w:rsid w:val="00364A53"/>
    <w:rsid w:val="003654CB"/>
    <w:rsid w:val="00365AA9"/>
    <w:rsid w:val="00365F86"/>
    <w:rsid w:val="00365F87"/>
    <w:rsid w:val="00366E89"/>
    <w:rsid w:val="003705F4"/>
    <w:rsid w:val="00370D58"/>
    <w:rsid w:val="00371316"/>
    <w:rsid w:val="00376713"/>
    <w:rsid w:val="003803A6"/>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B09AD"/>
    <w:rsid w:val="003B1F18"/>
    <w:rsid w:val="003B5BF0"/>
    <w:rsid w:val="003B60BF"/>
    <w:rsid w:val="003B6BE3"/>
    <w:rsid w:val="003C010C"/>
    <w:rsid w:val="003C0A6C"/>
    <w:rsid w:val="003C14F8"/>
    <w:rsid w:val="003C5A43"/>
    <w:rsid w:val="003D0519"/>
    <w:rsid w:val="003D0FF6"/>
    <w:rsid w:val="003D262C"/>
    <w:rsid w:val="003D6D61"/>
    <w:rsid w:val="003D79C6"/>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7E6"/>
    <w:rsid w:val="004A1BA8"/>
    <w:rsid w:val="004A4B57"/>
    <w:rsid w:val="004A63FA"/>
    <w:rsid w:val="004B0272"/>
    <w:rsid w:val="004B2701"/>
    <w:rsid w:val="004B2E1B"/>
    <w:rsid w:val="004B3AA8"/>
    <w:rsid w:val="004B3E93"/>
    <w:rsid w:val="004B6234"/>
    <w:rsid w:val="004C1FBC"/>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2B06"/>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73D9E"/>
    <w:rsid w:val="005801E3"/>
    <w:rsid w:val="00581802"/>
    <w:rsid w:val="005836A8"/>
    <w:rsid w:val="0058409C"/>
    <w:rsid w:val="00584262"/>
    <w:rsid w:val="00586630"/>
    <w:rsid w:val="00587ADD"/>
    <w:rsid w:val="00591E27"/>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6812"/>
    <w:rsid w:val="005E7881"/>
    <w:rsid w:val="005E78E0"/>
    <w:rsid w:val="005F0D9C"/>
    <w:rsid w:val="005F284E"/>
    <w:rsid w:val="005F4712"/>
    <w:rsid w:val="006015CE"/>
    <w:rsid w:val="00604784"/>
    <w:rsid w:val="00606419"/>
    <w:rsid w:val="00607D29"/>
    <w:rsid w:val="00612952"/>
    <w:rsid w:val="00614CC1"/>
    <w:rsid w:val="00615A9D"/>
    <w:rsid w:val="00617387"/>
    <w:rsid w:val="006205D6"/>
    <w:rsid w:val="006252D8"/>
    <w:rsid w:val="006259BC"/>
    <w:rsid w:val="0062636B"/>
    <w:rsid w:val="00627150"/>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5D2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0AB7"/>
    <w:rsid w:val="006D16C4"/>
    <w:rsid w:val="006D3E96"/>
    <w:rsid w:val="006D4515"/>
    <w:rsid w:val="006D4BB1"/>
    <w:rsid w:val="006D6593"/>
    <w:rsid w:val="006E23EA"/>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879"/>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3918"/>
    <w:rsid w:val="007A41C8"/>
    <w:rsid w:val="007A54CE"/>
    <w:rsid w:val="007A6FD9"/>
    <w:rsid w:val="007A7FFA"/>
    <w:rsid w:val="007B04EB"/>
    <w:rsid w:val="007B0D4F"/>
    <w:rsid w:val="007B5A3D"/>
    <w:rsid w:val="007B5B95"/>
    <w:rsid w:val="007B68EA"/>
    <w:rsid w:val="007B7453"/>
    <w:rsid w:val="007C1E8B"/>
    <w:rsid w:val="007C2D89"/>
    <w:rsid w:val="007C4593"/>
    <w:rsid w:val="007C5309"/>
    <w:rsid w:val="007C6066"/>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4973"/>
    <w:rsid w:val="008373D3"/>
    <w:rsid w:val="00840617"/>
    <w:rsid w:val="00840F84"/>
    <w:rsid w:val="00842A47"/>
    <w:rsid w:val="00843C13"/>
    <w:rsid w:val="008454F8"/>
    <w:rsid w:val="0085173A"/>
    <w:rsid w:val="00856316"/>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F5"/>
    <w:rsid w:val="009249EC"/>
    <w:rsid w:val="009273B3"/>
    <w:rsid w:val="009305B5"/>
    <w:rsid w:val="00937D9F"/>
    <w:rsid w:val="009429D5"/>
    <w:rsid w:val="00942BF1"/>
    <w:rsid w:val="00945180"/>
    <w:rsid w:val="00945428"/>
    <w:rsid w:val="0094607B"/>
    <w:rsid w:val="00953604"/>
    <w:rsid w:val="0095496B"/>
    <w:rsid w:val="009610DC"/>
    <w:rsid w:val="00961490"/>
    <w:rsid w:val="0096381A"/>
    <w:rsid w:val="00965E04"/>
    <w:rsid w:val="009674AD"/>
    <w:rsid w:val="00970CDC"/>
    <w:rsid w:val="00977010"/>
    <w:rsid w:val="00977D02"/>
    <w:rsid w:val="009809BB"/>
    <w:rsid w:val="0098364B"/>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46F9"/>
    <w:rsid w:val="009B6029"/>
    <w:rsid w:val="009B6971"/>
    <w:rsid w:val="009C27F1"/>
    <w:rsid w:val="009C3152"/>
    <w:rsid w:val="009C4CFA"/>
    <w:rsid w:val="009C5070"/>
    <w:rsid w:val="009D112C"/>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6AF0"/>
    <w:rsid w:val="00B47293"/>
    <w:rsid w:val="00B50E50"/>
    <w:rsid w:val="00B52120"/>
    <w:rsid w:val="00B54ABC"/>
    <w:rsid w:val="00B54DDE"/>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203B"/>
    <w:rsid w:val="00BB5F8F"/>
    <w:rsid w:val="00BB657A"/>
    <w:rsid w:val="00BC1A4E"/>
    <w:rsid w:val="00BC4790"/>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148"/>
    <w:rsid w:val="00C24C8D"/>
    <w:rsid w:val="00C25FE2"/>
    <w:rsid w:val="00C26B53"/>
    <w:rsid w:val="00C279B2"/>
    <w:rsid w:val="00C33E50"/>
    <w:rsid w:val="00C34C20"/>
    <w:rsid w:val="00C35A3E"/>
    <w:rsid w:val="00C37DFC"/>
    <w:rsid w:val="00C42130"/>
    <w:rsid w:val="00C423A4"/>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982"/>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E0C4F"/>
    <w:rsid w:val="00CE30EA"/>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16886"/>
    <w:rsid w:val="00D20737"/>
    <w:rsid w:val="00D21E81"/>
    <w:rsid w:val="00D223DE"/>
    <w:rsid w:val="00D25E37"/>
    <w:rsid w:val="00D2661A"/>
    <w:rsid w:val="00D27582"/>
    <w:rsid w:val="00D27EC4"/>
    <w:rsid w:val="00D32719"/>
    <w:rsid w:val="00D33333"/>
    <w:rsid w:val="00D33457"/>
    <w:rsid w:val="00D352A2"/>
    <w:rsid w:val="00D3660F"/>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926D0"/>
    <w:rsid w:val="00D93030"/>
    <w:rsid w:val="00D950E1"/>
    <w:rsid w:val="00D952A6"/>
    <w:rsid w:val="00D97F99"/>
    <w:rsid w:val="00DA016E"/>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DF5F11"/>
    <w:rsid w:val="00E01138"/>
    <w:rsid w:val="00E02DFB"/>
    <w:rsid w:val="00E030F9"/>
    <w:rsid w:val="00E0311A"/>
    <w:rsid w:val="00E03138"/>
    <w:rsid w:val="00E06404"/>
    <w:rsid w:val="00E065D2"/>
    <w:rsid w:val="00E11A85"/>
    <w:rsid w:val="00E12495"/>
    <w:rsid w:val="00E15CCD"/>
    <w:rsid w:val="00E202EF"/>
    <w:rsid w:val="00E210B5"/>
    <w:rsid w:val="00E23D99"/>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7DE"/>
    <w:rsid w:val="00EB1E69"/>
    <w:rsid w:val="00EB2086"/>
    <w:rsid w:val="00EB5EDF"/>
    <w:rsid w:val="00EB60FE"/>
    <w:rsid w:val="00EB74DB"/>
    <w:rsid w:val="00EC5359"/>
    <w:rsid w:val="00EC562A"/>
    <w:rsid w:val="00ED067A"/>
    <w:rsid w:val="00ED2B50"/>
    <w:rsid w:val="00ED4858"/>
    <w:rsid w:val="00EE0350"/>
    <w:rsid w:val="00EE0719"/>
    <w:rsid w:val="00EE0E80"/>
    <w:rsid w:val="00EE54A6"/>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25BB6"/>
    <w:rsid w:val="00F26B7E"/>
    <w:rsid w:val="00F27A3B"/>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891"/>
    <w:rsid w:val="00F71E22"/>
    <w:rsid w:val="00F72142"/>
    <w:rsid w:val="00F72AE7"/>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32E75FD"/>
    <w:rsid w:val="03766107"/>
    <w:rsid w:val="03F72285"/>
    <w:rsid w:val="04247911"/>
    <w:rsid w:val="04E35A1E"/>
    <w:rsid w:val="054D2E98"/>
    <w:rsid w:val="068E0217"/>
    <w:rsid w:val="0ACE6829"/>
    <w:rsid w:val="0BE8042B"/>
    <w:rsid w:val="0C670CE3"/>
    <w:rsid w:val="0C8A677F"/>
    <w:rsid w:val="0EA0672E"/>
    <w:rsid w:val="0F2F360E"/>
    <w:rsid w:val="10241F69"/>
    <w:rsid w:val="112B159D"/>
    <w:rsid w:val="11496A55"/>
    <w:rsid w:val="17492E86"/>
    <w:rsid w:val="17B1375A"/>
    <w:rsid w:val="185A5BA0"/>
    <w:rsid w:val="18950986"/>
    <w:rsid w:val="199E6293"/>
    <w:rsid w:val="19EC0A79"/>
    <w:rsid w:val="1A98216B"/>
    <w:rsid w:val="1BC25F36"/>
    <w:rsid w:val="1CC902F4"/>
    <w:rsid w:val="1DB33147"/>
    <w:rsid w:val="1DB37AD7"/>
    <w:rsid w:val="1DF60118"/>
    <w:rsid w:val="1E05210A"/>
    <w:rsid w:val="1E4744D0"/>
    <w:rsid w:val="1F170346"/>
    <w:rsid w:val="1FBC2C9C"/>
    <w:rsid w:val="1FD94B14"/>
    <w:rsid w:val="207B4451"/>
    <w:rsid w:val="22B12860"/>
    <w:rsid w:val="22EB3FC4"/>
    <w:rsid w:val="24BB5C18"/>
    <w:rsid w:val="29013E49"/>
    <w:rsid w:val="29E90B31"/>
    <w:rsid w:val="2B6A5CA2"/>
    <w:rsid w:val="2D7A6492"/>
    <w:rsid w:val="2FC02334"/>
    <w:rsid w:val="31244B45"/>
    <w:rsid w:val="31E56082"/>
    <w:rsid w:val="3224193C"/>
    <w:rsid w:val="323E5792"/>
    <w:rsid w:val="32655415"/>
    <w:rsid w:val="327D62BB"/>
    <w:rsid w:val="32FB00B8"/>
    <w:rsid w:val="33596D28"/>
    <w:rsid w:val="33977850"/>
    <w:rsid w:val="3643781B"/>
    <w:rsid w:val="368F2A60"/>
    <w:rsid w:val="36EE59D9"/>
    <w:rsid w:val="37DA7D0B"/>
    <w:rsid w:val="38EA21D0"/>
    <w:rsid w:val="3A092B2A"/>
    <w:rsid w:val="3C1760C9"/>
    <w:rsid w:val="3DD75419"/>
    <w:rsid w:val="3F6F78D3"/>
    <w:rsid w:val="40B90E06"/>
    <w:rsid w:val="436D4129"/>
    <w:rsid w:val="4470730E"/>
    <w:rsid w:val="44D02BC2"/>
    <w:rsid w:val="451E56DB"/>
    <w:rsid w:val="45EC57D9"/>
    <w:rsid w:val="4670640B"/>
    <w:rsid w:val="47D318F9"/>
    <w:rsid w:val="48733F90"/>
    <w:rsid w:val="48D6451F"/>
    <w:rsid w:val="494D6B4F"/>
    <w:rsid w:val="4953791E"/>
    <w:rsid w:val="49975A5C"/>
    <w:rsid w:val="4A2F038B"/>
    <w:rsid w:val="4BA17066"/>
    <w:rsid w:val="4BB26B7D"/>
    <w:rsid w:val="4BE56F53"/>
    <w:rsid w:val="4D185106"/>
    <w:rsid w:val="4DF5157D"/>
    <w:rsid w:val="4F255672"/>
    <w:rsid w:val="4F5A1A06"/>
    <w:rsid w:val="5080549C"/>
    <w:rsid w:val="51842D6A"/>
    <w:rsid w:val="519A6171"/>
    <w:rsid w:val="53874D93"/>
    <w:rsid w:val="56334D5F"/>
    <w:rsid w:val="567C04B4"/>
    <w:rsid w:val="574F5BC8"/>
    <w:rsid w:val="57CC0A3F"/>
    <w:rsid w:val="5A875679"/>
    <w:rsid w:val="5B640C16"/>
    <w:rsid w:val="5C473312"/>
    <w:rsid w:val="5D2D2508"/>
    <w:rsid w:val="5D573A29"/>
    <w:rsid w:val="5E765FD3"/>
    <w:rsid w:val="5F090D52"/>
    <w:rsid w:val="5F0E45BB"/>
    <w:rsid w:val="5FA56CCD"/>
    <w:rsid w:val="60330410"/>
    <w:rsid w:val="6054424F"/>
    <w:rsid w:val="60BF3DBF"/>
    <w:rsid w:val="63EC69E9"/>
    <w:rsid w:val="63F43D7F"/>
    <w:rsid w:val="642A5891"/>
    <w:rsid w:val="65DD5626"/>
    <w:rsid w:val="66A01F9C"/>
    <w:rsid w:val="674A1F08"/>
    <w:rsid w:val="6799C053"/>
    <w:rsid w:val="682A7EEA"/>
    <w:rsid w:val="68DB550E"/>
    <w:rsid w:val="69761422"/>
    <w:rsid w:val="6C2E004A"/>
    <w:rsid w:val="6D301BA0"/>
    <w:rsid w:val="6E1F5E9D"/>
    <w:rsid w:val="6F2F70E2"/>
    <w:rsid w:val="6F5E29F5"/>
    <w:rsid w:val="6FC860C0"/>
    <w:rsid w:val="70781894"/>
    <w:rsid w:val="72824C4C"/>
    <w:rsid w:val="746C3909"/>
    <w:rsid w:val="749604C9"/>
    <w:rsid w:val="74BE022A"/>
    <w:rsid w:val="74E7348C"/>
    <w:rsid w:val="750C6A4F"/>
    <w:rsid w:val="75226272"/>
    <w:rsid w:val="756B5E6B"/>
    <w:rsid w:val="75A90742"/>
    <w:rsid w:val="7610256F"/>
    <w:rsid w:val="77471FC0"/>
    <w:rsid w:val="7864792B"/>
    <w:rsid w:val="7A010B4C"/>
    <w:rsid w:val="7A414F90"/>
    <w:rsid w:val="7C666E84"/>
    <w:rsid w:val="7C8D66C7"/>
    <w:rsid w:val="7D230DDA"/>
    <w:rsid w:val="7E236485"/>
    <w:rsid w:val="7E3F1C43"/>
    <w:rsid w:val="7E6F7095"/>
    <w:rsid w:val="7F286B7B"/>
    <w:rsid w:val="7F363046"/>
    <w:rsid w:val="BFFF7E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86"/>
    <w:qFormat/>
    <w:uiPriority w:val="0"/>
    <w:pPr>
      <w:spacing w:after="120"/>
    </w:pPr>
  </w:style>
  <w:style w:type="paragraph" w:styleId="14">
    <w:name w:val="toc 5"/>
    <w:basedOn w:val="1"/>
    <w:next w:val="1"/>
    <w:unhideWhenUsed/>
    <w:qFormat/>
    <w:uiPriority w:val="39"/>
    <w:pPr>
      <w:ind w:left="839"/>
    </w:pPr>
    <w:rPr>
      <w:rFonts w:ascii="宋体"/>
    </w:rPr>
  </w:style>
  <w:style w:type="paragraph" w:styleId="15">
    <w:name w:val="toc 3"/>
    <w:basedOn w:val="1"/>
    <w:next w:val="1"/>
    <w:unhideWhenUsed/>
    <w:qFormat/>
    <w:uiPriority w:val="39"/>
    <w:pPr>
      <w:spacing w:line="300" w:lineRule="exact"/>
      <w:ind w:left="420"/>
    </w:pPr>
    <w:rPr>
      <w:rFonts w:ascii="宋体"/>
    </w:rPr>
  </w:style>
  <w:style w:type="paragraph" w:styleId="16">
    <w:name w:val="Balloon Text"/>
    <w:basedOn w:val="1"/>
    <w:link w:val="45"/>
    <w:semiHidden/>
    <w:unhideWhenUsed/>
    <w:qFormat/>
    <w:uiPriority w:val="99"/>
    <w:rPr>
      <w:sz w:val="18"/>
      <w:szCs w:val="18"/>
    </w:rPr>
  </w:style>
  <w:style w:type="paragraph" w:styleId="17">
    <w:name w:val="footer"/>
    <w:basedOn w:val="1"/>
    <w:link w:val="44"/>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qFormat/>
    <w:uiPriority w:val="99"/>
    <w:pPr>
      <w:tabs>
        <w:tab w:val="center" w:pos="4153"/>
        <w:tab w:val="right" w:pos="8306"/>
      </w:tabs>
      <w:adjustRightInd/>
      <w:snapToGrid w:val="0"/>
      <w:jc w:val="center"/>
    </w:pPr>
    <w:rPr>
      <w:sz w:val="18"/>
      <w:szCs w:val="18"/>
    </w:rPr>
  </w:style>
  <w:style w:type="paragraph" w:styleId="19">
    <w:name w:val="toc 1"/>
    <w:basedOn w:val="1"/>
    <w:next w:val="1"/>
    <w:unhideWhenUsed/>
    <w:qFormat/>
    <w:uiPriority w:val="39"/>
    <w:rPr>
      <w:rFonts w:ascii="宋体"/>
    </w:rPr>
  </w:style>
  <w:style w:type="paragraph" w:styleId="20">
    <w:name w:val="toc 4"/>
    <w:basedOn w:val="1"/>
    <w:next w:val="1"/>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99"/>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unhideWhenUsed/>
    <w:qFormat/>
    <w:uiPriority w:val="39"/>
    <w:pPr>
      <w:tabs>
        <w:tab w:val="right" w:leader="dot" w:pos="9344"/>
      </w:tabs>
      <w:spacing w:line="300" w:lineRule="exact"/>
      <w:ind w:left="210"/>
    </w:pPr>
    <w:rPr>
      <w:rFonts w:ascii="宋体"/>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table" w:styleId="27">
    <w:name w:val="Table Grid"/>
    <w:basedOn w:val="2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22"/>
    <w:rPr>
      <w:b/>
      <w:bCs/>
    </w:rPr>
  </w:style>
  <w:style w:type="character" w:styleId="30">
    <w:name w:val="page number"/>
    <w:qFormat/>
    <w:uiPriority w:val="0"/>
    <w:rPr>
      <w:rFonts w:ascii="宋体" w:hAnsi="Times New Roman" w:eastAsia="宋体"/>
      <w:sz w:val="18"/>
    </w:rPr>
  </w:style>
  <w:style w:type="character" w:styleId="31">
    <w:name w:val="Emphasis"/>
    <w:qFormat/>
    <w:uiPriority w:val="20"/>
    <w:rPr>
      <w:i/>
      <w:iCs/>
    </w:rPr>
  </w:style>
  <w:style w:type="character" w:styleId="32">
    <w:name w:val="Hyperlink"/>
    <w:qFormat/>
    <w:uiPriority w:val="99"/>
    <w:rPr>
      <w:rFonts w:ascii="宋体" w:hAnsi="Times New Roman" w:eastAsia="宋体"/>
      <w:color w:val="auto"/>
      <w:spacing w:val="0"/>
      <w:w w:val="100"/>
      <w:position w:val="0"/>
      <w:sz w:val="21"/>
      <w:u w:val="none"/>
      <w:vertAlign w:val="baseline"/>
    </w:rPr>
  </w:style>
  <w:style w:type="character" w:styleId="33">
    <w:name w:val="footnote reference"/>
    <w:semiHidden/>
    <w:qFormat/>
    <w:uiPriority w:val="0"/>
    <w:rPr>
      <w:rFonts w:ascii="宋体" w:hAnsi="宋体" w:eastAsia="宋体" w:cs="Times New Roman"/>
      <w:spacing w:val="0"/>
      <w:sz w:val="18"/>
      <w:vertAlign w:val="superscript"/>
    </w:rPr>
  </w:style>
  <w:style w:type="character" w:customStyle="1" w:styleId="34">
    <w:name w:val="标题 1 字符"/>
    <w:link w:val="2"/>
    <w:qFormat/>
    <w:uiPriority w:val="0"/>
    <w:rPr>
      <w:b/>
      <w:bCs/>
      <w:kern w:val="44"/>
      <w:sz w:val="44"/>
      <w:szCs w:val="44"/>
    </w:rPr>
  </w:style>
  <w:style w:type="character" w:customStyle="1" w:styleId="35">
    <w:name w:val="标题 2 字符"/>
    <w:link w:val="3"/>
    <w:qFormat/>
    <w:uiPriority w:val="0"/>
    <w:rPr>
      <w:rFonts w:ascii="Arial" w:hAnsi="Arial" w:eastAsia="黑体"/>
      <w:b/>
      <w:bCs/>
      <w:kern w:val="2"/>
      <w:sz w:val="32"/>
      <w:szCs w:val="32"/>
    </w:rPr>
  </w:style>
  <w:style w:type="character" w:customStyle="1" w:styleId="36">
    <w:name w:val="标题 3 字符"/>
    <w:link w:val="4"/>
    <w:qFormat/>
    <w:uiPriority w:val="0"/>
    <w:rPr>
      <w:b/>
      <w:bCs/>
      <w:kern w:val="2"/>
      <w:sz w:val="32"/>
      <w:szCs w:val="32"/>
    </w:rPr>
  </w:style>
  <w:style w:type="character" w:customStyle="1" w:styleId="37">
    <w:name w:val="标题 4 字符"/>
    <w:link w:val="5"/>
    <w:qFormat/>
    <w:uiPriority w:val="0"/>
    <w:rPr>
      <w:rFonts w:ascii="Arial" w:hAnsi="Arial" w:eastAsia="黑体"/>
      <w:b/>
      <w:bCs/>
      <w:kern w:val="2"/>
      <w:sz w:val="28"/>
      <w:szCs w:val="28"/>
    </w:rPr>
  </w:style>
  <w:style w:type="character" w:customStyle="1" w:styleId="38">
    <w:name w:val="标题 5 字符"/>
    <w:link w:val="6"/>
    <w:qFormat/>
    <w:uiPriority w:val="0"/>
    <w:rPr>
      <w:b/>
      <w:bCs/>
      <w:kern w:val="2"/>
      <w:sz w:val="28"/>
      <w:szCs w:val="28"/>
    </w:rPr>
  </w:style>
  <w:style w:type="character" w:customStyle="1" w:styleId="39">
    <w:name w:val="标题 6 字符"/>
    <w:link w:val="7"/>
    <w:qFormat/>
    <w:uiPriority w:val="0"/>
    <w:rPr>
      <w:rFonts w:ascii="Arial" w:hAnsi="Arial" w:eastAsia="黑体"/>
      <w:b/>
      <w:bCs/>
      <w:kern w:val="2"/>
      <w:sz w:val="24"/>
      <w:szCs w:val="24"/>
    </w:rPr>
  </w:style>
  <w:style w:type="character" w:customStyle="1" w:styleId="40">
    <w:name w:val="标题 7 字符"/>
    <w:link w:val="8"/>
    <w:qFormat/>
    <w:uiPriority w:val="0"/>
    <w:rPr>
      <w:b/>
      <w:bCs/>
      <w:kern w:val="2"/>
      <w:sz w:val="24"/>
      <w:szCs w:val="24"/>
    </w:rPr>
  </w:style>
  <w:style w:type="character" w:customStyle="1" w:styleId="41">
    <w:name w:val="标题 8 字符"/>
    <w:link w:val="9"/>
    <w:qFormat/>
    <w:uiPriority w:val="0"/>
    <w:rPr>
      <w:rFonts w:ascii="Arial" w:hAnsi="Arial" w:eastAsia="黑体"/>
      <w:kern w:val="2"/>
      <w:sz w:val="24"/>
      <w:szCs w:val="24"/>
    </w:rPr>
  </w:style>
  <w:style w:type="character" w:customStyle="1" w:styleId="42">
    <w:name w:val="标题 9 字符"/>
    <w:link w:val="10"/>
    <w:qFormat/>
    <w:uiPriority w:val="0"/>
    <w:rPr>
      <w:rFonts w:ascii="Arial" w:hAnsi="Arial" w:eastAsia="黑体"/>
      <w:kern w:val="2"/>
      <w:sz w:val="21"/>
      <w:szCs w:val="21"/>
    </w:rPr>
  </w:style>
  <w:style w:type="character" w:customStyle="1" w:styleId="43">
    <w:name w:val="页眉 字符"/>
    <w:link w:val="18"/>
    <w:qFormat/>
    <w:uiPriority w:val="99"/>
    <w:rPr>
      <w:kern w:val="2"/>
      <w:sz w:val="18"/>
      <w:szCs w:val="18"/>
    </w:rPr>
  </w:style>
  <w:style w:type="character" w:customStyle="1" w:styleId="44">
    <w:name w:val="页脚 字符"/>
    <w:link w:val="17"/>
    <w:qFormat/>
    <w:uiPriority w:val="99"/>
    <w:rPr>
      <w:rFonts w:ascii="宋体"/>
      <w:kern w:val="2"/>
      <w:sz w:val="18"/>
      <w:szCs w:val="18"/>
    </w:rPr>
  </w:style>
  <w:style w:type="character" w:customStyle="1" w:styleId="45">
    <w:name w:val="批注框文本 字符"/>
    <w:link w:val="16"/>
    <w:semiHidden/>
    <w:qFormat/>
    <w:uiPriority w:val="99"/>
    <w:rPr>
      <w:kern w:val="2"/>
      <w:sz w:val="18"/>
      <w:szCs w:val="18"/>
    </w:rPr>
  </w:style>
  <w:style w:type="paragraph" w:styleId="46">
    <w:name w:val="Quote"/>
    <w:basedOn w:val="1"/>
    <w:next w:val="1"/>
    <w:link w:val="47"/>
    <w:qFormat/>
    <w:uiPriority w:val="29"/>
    <w:rPr>
      <w:i/>
      <w:iCs/>
      <w:color w:val="000000"/>
    </w:rPr>
  </w:style>
  <w:style w:type="character" w:customStyle="1" w:styleId="47">
    <w:name w:val="引用 字符"/>
    <w:link w:val="46"/>
    <w:qFormat/>
    <w:uiPriority w:val="29"/>
    <w:rPr>
      <w:i/>
      <w:iCs/>
      <w:color w:val="000000"/>
      <w:kern w:val="2"/>
      <w:sz w:val="21"/>
      <w:szCs w:val="21"/>
    </w:rPr>
  </w:style>
  <w:style w:type="character" w:customStyle="1" w:styleId="48">
    <w:name w:val="标题 字符"/>
    <w:link w:val="25"/>
    <w:qFormat/>
    <w:uiPriority w:val="0"/>
    <w:rPr>
      <w:rFonts w:ascii="Arial" w:hAnsi="Arial" w:cs="Arial"/>
      <w:b/>
      <w:bCs/>
      <w:kern w:val="2"/>
      <w:sz w:val="32"/>
      <w:szCs w:val="32"/>
    </w:rPr>
  </w:style>
  <w:style w:type="paragraph" w:customStyle="1" w:styleId="4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2">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3">
    <w:name w:val="标准书眉一"/>
    <w:qFormat/>
    <w:uiPriority w:val="0"/>
    <w:pPr>
      <w:jc w:val="both"/>
    </w:pPr>
    <w:rPr>
      <w:rFonts w:ascii="Times New Roman" w:hAnsi="Times New Roman" w:eastAsia="宋体" w:cs="Times New Roman"/>
      <w:lang w:val="en-US" w:eastAsia="zh-CN" w:bidi="ar-SA"/>
    </w:rPr>
  </w:style>
  <w:style w:type="paragraph" w:customStyle="1" w:styleId="54">
    <w:name w:val="标准文件_ICS"/>
    <w:basedOn w:val="1"/>
    <w:qFormat/>
    <w:uiPriority w:val="0"/>
    <w:pPr>
      <w:spacing w:line="0" w:lineRule="atLeast"/>
    </w:pPr>
    <w:rPr>
      <w:rFonts w:ascii="黑体" w:hAnsi="宋体" w:eastAsia="黑体"/>
    </w:rPr>
  </w:style>
  <w:style w:type="paragraph" w:customStyle="1" w:styleId="55">
    <w:name w:val="标准文件_标准正文"/>
    <w:basedOn w:val="1"/>
    <w:next w:val="56"/>
    <w:qFormat/>
    <w:uiPriority w:val="0"/>
    <w:pPr>
      <w:snapToGrid w:val="0"/>
      <w:ind w:firstLine="200" w:firstLineChars="200"/>
    </w:pPr>
    <w:rPr>
      <w:kern w:val="0"/>
    </w:rPr>
  </w:style>
  <w:style w:type="paragraph" w:customStyle="1" w:styleId="56">
    <w:name w:val="标准文件_段"/>
    <w:link w:val="184"/>
    <w:qFormat/>
    <w:uiPriority w:val="0"/>
    <w:pPr>
      <w:autoSpaceDE w:val="0"/>
      <w:autoSpaceDN w:val="0"/>
      <w:ind w:firstLine="200" w:firstLineChars="200"/>
      <w:jc w:val="both"/>
    </w:pPr>
    <w:rPr>
      <w:rFonts w:ascii="Times New Roman" w:hAnsi="Times New Roman" w:eastAsia="宋体" w:cs="Times New Roman"/>
      <w:sz w:val="21"/>
      <w:lang w:val="en-US" w:eastAsia="zh-CN" w:bidi="ar-SA"/>
    </w:rPr>
  </w:style>
  <w:style w:type="paragraph" w:customStyle="1" w:styleId="57">
    <w:name w:val="标准文件_版本"/>
    <w:basedOn w:val="55"/>
    <w:qFormat/>
    <w:uiPriority w:val="0"/>
    <w:pPr>
      <w:adjustRightInd/>
      <w:snapToGrid/>
      <w:ind w:firstLine="0" w:firstLineChars="0"/>
    </w:pPr>
    <w:rPr>
      <w:rFonts w:ascii="宋体" w:hAnsi="宋体"/>
      <w:kern w:val="2"/>
    </w:rPr>
  </w:style>
  <w:style w:type="paragraph" w:customStyle="1" w:styleId="58">
    <w:name w:val="标准文件_标准部门"/>
    <w:basedOn w:val="1"/>
    <w:qFormat/>
    <w:uiPriority w:val="0"/>
    <w:pPr>
      <w:jc w:val="center"/>
    </w:pPr>
    <w:rPr>
      <w:rFonts w:ascii="黑体" w:eastAsia="黑体"/>
      <w:kern w:val="0"/>
      <w:sz w:val="44"/>
    </w:rPr>
  </w:style>
  <w:style w:type="paragraph" w:customStyle="1" w:styleId="59">
    <w:name w:val="标准文件_标准代替"/>
    <w:basedOn w:val="1"/>
    <w:next w:val="1"/>
    <w:qFormat/>
    <w:uiPriority w:val="0"/>
    <w:pPr>
      <w:spacing w:line="310" w:lineRule="exact"/>
      <w:jc w:val="right"/>
    </w:pPr>
    <w:rPr>
      <w:rFonts w:ascii="宋体" w:hAnsi="宋体"/>
      <w:kern w:val="0"/>
    </w:rPr>
  </w:style>
  <w:style w:type="paragraph" w:customStyle="1" w:styleId="60">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qFormat/>
    <w:uiPriority w:val="0"/>
    <w:pPr>
      <w:jc w:val="left"/>
    </w:pPr>
  </w:style>
  <w:style w:type="paragraph" w:customStyle="1" w:styleId="63">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4">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6">
    <w:name w:val="标准文件_发布"/>
    <w:qFormat/>
    <w:uiPriority w:val="0"/>
    <w:rPr>
      <w:rFonts w:ascii="黑体" w:eastAsia="黑体"/>
      <w:spacing w:val="0"/>
      <w:w w:val="100"/>
      <w:position w:val="3"/>
      <w:sz w:val="28"/>
    </w:rPr>
  </w:style>
  <w:style w:type="paragraph" w:customStyle="1" w:styleId="67">
    <w:name w:val="标准文件_方框数字列项"/>
    <w:basedOn w:val="56"/>
    <w:qFormat/>
    <w:uiPriority w:val="0"/>
    <w:pPr>
      <w:numPr>
        <w:ilvl w:val="0"/>
        <w:numId w:val="3"/>
      </w:numPr>
      <w:ind w:firstLine="0" w:firstLineChars="0"/>
    </w:pPr>
  </w:style>
  <w:style w:type="paragraph" w:customStyle="1" w:styleId="68">
    <w:name w:val="标准文件_封面标准编号"/>
    <w:basedOn w:val="1"/>
    <w:next w:val="59"/>
    <w:qFormat/>
    <w:uiPriority w:val="0"/>
    <w:pPr>
      <w:spacing w:line="310" w:lineRule="exact"/>
      <w:jc w:val="right"/>
    </w:pPr>
    <w:rPr>
      <w:rFonts w:ascii="黑体" w:eastAsia="黑体"/>
      <w:kern w:val="0"/>
      <w:sz w:val="28"/>
    </w:rPr>
  </w:style>
  <w:style w:type="paragraph" w:customStyle="1" w:styleId="69">
    <w:name w:val="标准文件_封面标准分类号"/>
    <w:basedOn w:val="1"/>
    <w:qFormat/>
    <w:uiPriority w:val="0"/>
    <w:rPr>
      <w:rFonts w:ascii="黑体" w:eastAsia="黑体"/>
      <w:b/>
      <w:kern w:val="0"/>
      <w:sz w:val="28"/>
    </w:rPr>
  </w:style>
  <w:style w:type="paragraph" w:customStyle="1" w:styleId="70">
    <w:name w:val="标准文件_封面标准名称"/>
    <w:basedOn w:val="1"/>
    <w:qFormat/>
    <w:uiPriority w:val="0"/>
    <w:pPr>
      <w:spacing w:line="240" w:lineRule="auto"/>
      <w:jc w:val="center"/>
    </w:pPr>
    <w:rPr>
      <w:rFonts w:ascii="黑体" w:eastAsia="黑体"/>
      <w:kern w:val="0"/>
      <w:sz w:val="52"/>
    </w:rPr>
  </w:style>
  <w:style w:type="paragraph" w:customStyle="1" w:styleId="71">
    <w:name w:val="标准文件_封面标准英文名称"/>
    <w:basedOn w:val="1"/>
    <w:qFormat/>
    <w:uiPriority w:val="0"/>
    <w:pPr>
      <w:spacing w:line="240" w:lineRule="auto"/>
      <w:jc w:val="center"/>
    </w:pPr>
    <w:rPr>
      <w:rFonts w:ascii="黑体" w:eastAsia="黑体"/>
      <w:b/>
      <w:sz w:val="28"/>
    </w:rPr>
  </w:style>
  <w:style w:type="paragraph" w:customStyle="1" w:styleId="72">
    <w:name w:val="标准文件_封面发布日期"/>
    <w:basedOn w:val="1"/>
    <w:qFormat/>
    <w:uiPriority w:val="0"/>
    <w:pPr>
      <w:spacing w:line="310" w:lineRule="exact"/>
    </w:pPr>
    <w:rPr>
      <w:rFonts w:ascii="黑体" w:eastAsia="黑体"/>
      <w:kern w:val="0"/>
      <w:sz w:val="28"/>
    </w:rPr>
  </w:style>
  <w:style w:type="paragraph" w:customStyle="1" w:styleId="73">
    <w:name w:val="标准文件_封面密级"/>
    <w:basedOn w:val="1"/>
    <w:qFormat/>
    <w:uiPriority w:val="0"/>
    <w:rPr>
      <w:rFonts w:eastAsia="黑体"/>
      <w:sz w:val="32"/>
    </w:rPr>
  </w:style>
  <w:style w:type="paragraph" w:customStyle="1" w:styleId="74">
    <w:name w:val="标准文件_封面实施日期"/>
    <w:basedOn w:val="1"/>
    <w:qFormat/>
    <w:uiPriority w:val="0"/>
    <w:pPr>
      <w:spacing w:line="310" w:lineRule="exact"/>
      <w:jc w:val="right"/>
    </w:pPr>
    <w:rPr>
      <w:rFonts w:ascii="黑体" w:eastAsia="黑体"/>
      <w:sz w:val="28"/>
    </w:rPr>
  </w:style>
  <w:style w:type="paragraph" w:customStyle="1" w:styleId="75">
    <w:name w:val="标准文件_封面抬头"/>
    <w:basedOn w:val="56"/>
    <w:qFormat/>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qFormat/>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4">
    <w:name w:val="标准文件_附录五级条标题"/>
    <w:next w:val="56"/>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字符"/>
    <w:link w:val="13"/>
    <w:qFormat/>
    <w:uiPriority w:val="0"/>
    <w:rPr>
      <w:kern w:val="2"/>
      <w:sz w:val="21"/>
      <w:szCs w:val="21"/>
    </w:rPr>
  </w:style>
  <w:style w:type="paragraph" w:customStyle="1" w:styleId="87">
    <w:name w:val="标准文件_附录章标题"/>
    <w:next w:val="56"/>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qFormat/>
    <w:uiPriority w:val="0"/>
    <w:pPr>
      <w:ind w:left="488" w:leftChars="200" w:hanging="289" w:hangingChars="290"/>
    </w:pPr>
  </w:style>
  <w:style w:type="paragraph" w:customStyle="1" w:styleId="89">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qFormat/>
    <w:uiPriority w:val="0"/>
    <w:pPr>
      <w:spacing w:line="460" w:lineRule="exact"/>
      <w:ind w:left="0" w:firstLine="0"/>
    </w:pPr>
  </w:style>
  <w:style w:type="paragraph" w:customStyle="1" w:styleId="91">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2">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qFormat/>
    <w:uiPriority w:val="0"/>
    <w:pPr>
      <w:numPr>
        <w:numId w:val="10"/>
      </w:numPr>
    </w:pPr>
  </w:style>
  <w:style w:type="paragraph" w:customStyle="1" w:styleId="94">
    <w:name w:val="标准文件_三级条标题"/>
    <w:basedOn w:val="65"/>
    <w:next w:val="56"/>
    <w:qFormat/>
    <w:uiPriority w:val="0"/>
    <w:pPr>
      <w:widowControl/>
      <w:numPr>
        <w:ilvl w:val="4"/>
      </w:numPr>
      <w:outlineLvl w:val="3"/>
    </w:pPr>
  </w:style>
  <w:style w:type="character" w:customStyle="1" w:styleId="95">
    <w:name w:val="Subtle Reference"/>
    <w:qFormat/>
    <w:uiPriority w:val="31"/>
    <w:rPr>
      <w:smallCaps/>
      <w:color w:val="C0504D"/>
      <w:u w:val="single"/>
    </w:rPr>
  </w:style>
  <w:style w:type="paragraph" w:customStyle="1" w:styleId="96">
    <w:name w:val="标准文件_示例后续"/>
    <w:basedOn w:val="1"/>
    <w:qFormat/>
    <w:uiPriority w:val="0"/>
    <w:pPr>
      <w:adjustRightInd/>
      <w:spacing w:line="240" w:lineRule="auto"/>
      <w:ind w:firstLine="200" w:firstLineChars="200"/>
    </w:pPr>
    <w:rPr>
      <w:sz w:val="18"/>
      <w:szCs w:val="24"/>
    </w:rPr>
  </w:style>
  <w:style w:type="paragraph" w:customStyle="1" w:styleId="97">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99">
    <w:name w:val="脚注文本 字符"/>
    <w:link w:val="21"/>
    <w:semiHidden/>
    <w:qFormat/>
    <w:uiPriority w:val="0"/>
    <w:rPr>
      <w:rFonts w:ascii="宋体"/>
      <w:kern w:val="2"/>
      <w:sz w:val="18"/>
      <w:szCs w:val="18"/>
    </w:rPr>
  </w:style>
  <w:style w:type="paragraph" w:customStyle="1" w:styleId="100">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qFormat/>
    <w:uiPriority w:val="0"/>
    <w:pPr>
      <w:numPr>
        <w:ilvl w:val="0"/>
        <w:numId w:val="12"/>
      </w:numPr>
      <w:spacing w:line="240" w:lineRule="auto"/>
      <w:jc w:val="left"/>
    </w:pPr>
    <w:rPr>
      <w:rFonts w:ascii="宋体" w:hAnsi="宋体"/>
      <w:sz w:val="18"/>
    </w:rPr>
  </w:style>
  <w:style w:type="character" w:customStyle="1" w:styleId="102">
    <w:name w:val="标准文件_图表脚注内容"/>
    <w:qFormat/>
    <w:uiPriority w:val="0"/>
    <w:rPr>
      <w:rFonts w:ascii="宋体" w:hAnsi="宋体" w:eastAsia="宋体" w:cs="Times New Roman"/>
      <w:spacing w:val="0"/>
      <w:sz w:val="18"/>
      <w:vertAlign w:val="superscript"/>
    </w:rPr>
  </w:style>
  <w:style w:type="paragraph" w:customStyle="1" w:styleId="103">
    <w:name w:val="标准文件_五级条标题"/>
    <w:next w:val="56"/>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6"/>
    <w:qFormat/>
    <w:uiPriority w:val="0"/>
    <w:pPr>
      <w:numPr>
        <w:ilvl w:val="2"/>
      </w:numPr>
      <w:spacing w:before="50" w:beforeLines="50" w:after="50" w:afterLines="50"/>
      <w:outlineLvl w:val="1"/>
    </w:pPr>
  </w:style>
  <w:style w:type="paragraph" w:customStyle="1" w:styleId="106">
    <w:name w:val="标准文件_一致程度"/>
    <w:basedOn w:val="1"/>
    <w:qFormat/>
    <w:uiPriority w:val="0"/>
    <w:pPr>
      <w:spacing w:line="440" w:lineRule="exact"/>
      <w:jc w:val="center"/>
    </w:pPr>
    <w:rPr>
      <w:sz w:val="28"/>
    </w:rPr>
  </w:style>
  <w:style w:type="paragraph" w:customStyle="1" w:styleId="107">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5"/>
    <w:qFormat/>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0">
    <w:name w:val="标准文件_英文注："/>
    <w:basedOn w:val="1"/>
    <w:next w:val="56"/>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1">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2">
    <w:name w:val="标准文件_正文表标题"/>
    <w:next w:val="56"/>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3">
    <w:name w:val="标准文件_正文公式"/>
    <w:basedOn w:val="1"/>
    <w:next w:val="55"/>
    <w:qFormat/>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6"/>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英文表标题"/>
    <w:next w:val="56"/>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6"/>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8">
    <w:name w:val="二级无标题条"/>
    <w:basedOn w:val="1"/>
    <w:qFormat/>
    <w:uiPriority w:val="0"/>
    <w:pPr>
      <w:numPr>
        <w:ilvl w:val="3"/>
        <w:numId w:val="20"/>
      </w:numPr>
      <w:adjustRightInd/>
      <w:spacing w:line="240" w:lineRule="auto"/>
    </w:pPr>
    <w:rPr>
      <w:rFonts w:ascii="宋体" w:hAnsi="宋体"/>
      <w:szCs w:val="24"/>
    </w:rPr>
  </w:style>
  <w:style w:type="paragraph" w:customStyle="1" w:styleId="119">
    <w:name w:val="发布部门"/>
    <w:next w:val="56"/>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2">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qFormat/>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6"/>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6"/>
    <w:qFormat/>
    <w:uiPriority w:val="0"/>
    <w:pPr>
      <w:outlineLvl w:val="4"/>
    </w:pPr>
  </w:style>
  <w:style w:type="paragraph" w:customStyle="1" w:styleId="130">
    <w:name w:val="附录四级无标题条"/>
    <w:basedOn w:val="129"/>
    <w:next w:val="56"/>
    <w:qFormat/>
    <w:uiPriority w:val="0"/>
    <w:pPr>
      <w:outlineLvl w:val="5"/>
    </w:pPr>
  </w:style>
  <w:style w:type="paragraph" w:customStyle="1" w:styleId="131">
    <w:name w:val="附录图"/>
    <w:next w:val="56"/>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6"/>
    <w:qFormat/>
    <w:uiPriority w:val="0"/>
    <w:pPr>
      <w:outlineLvl w:val="6"/>
    </w:pPr>
  </w:style>
  <w:style w:type="paragraph" w:customStyle="1" w:styleId="134">
    <w:name w:val="附录性质"/>
    <w:basedOn w:val="1"/>
    <w:qFormat/>
    <w:uiPriority w:val="0"/>
    <w:pPr>
      <w:widowControl/>
      <w:adjustRightInd/>
      <w:jc w:val="center"/>
    </w:pPr>
    <w:rPr>
      <w:rFonts w:ascii="黑体" w:eastAsia="黑体"/>
    </w:rPr>
  </w:style>
  <w:style w:type="paragraph" w:customStyle="1" w:styleId="135">
    <w:name w:val="附录一级无标题条"/>
    <w:basedOn w:val="87"/>
    <w:next w:val="56"/>
    <w:qFormat/>
    <w:uiPriority w:val="0"/>
    <w:pPr>
      <w:autoSpaceDN w:val="0"/>
      <w:outlineLvl w:val="2"/>
    </w:pPr>
    <w:rPr>
      <w:rFonts w:ascii="宋体" w:hAnsi="宋体" w:eastAsia="宋体"/>
    </w:rPr>
  </w:style>
  <w:style w:type="character" w:customStyle="1" w:styleId="136">
    <w:name w:val="个人答复风格"/>
    <w:qFormat/>
    <w:uiPriority w:val="0"/>
    <w:rPr>
      <w:rFonts w:ascii="Arial" w:hAnsi="Arial" w:eastAsia="宋体" w:cs="Arial"/>
      <w:color w:val="auto"/>
      <w:spacing w:val="0"/>
      <w:sz w:val="20"/>
    </w:rPr>
  </w:style>
  <w:style w:type="character" w:customStyle="1" w:styleId="137">
    <w:name w:val="个人撰写风格"/>
    <w:qFormat/>
    <w:uiPriority w:val="0"/>
    <w:rPr>
      <w:rFonts w:ascii="Arial" w:hAnsi="Arial" w:eastAsia="宋体" w:cs="Arial"/>
      <w:color w:val="auto"/>
      <w:spacing w:val="0"/>
      <w:sz w:val="20"/>
    </w:rPr>
  </w:style>
  <w:style w:type="paragraph" w:customStyle="1" w:styleId="138">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6"/>
    <w:qFormat/>
    <w:uiPriority w:val="0"/>
    <w:pPr>
      <w:tabs>
        <w:tab w:val="left" w:pos="840"/>
      </w:tabs>
    </w:pPr>
  </w:style>
  <w:style w:type="paragraph" w:customStyle="1" w:styleId="141">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semiHidden/>
    <w:qFormat/>
    <w:uiPriority w:val="0"/>
    <w:pPr>
      <w:adjustRightInd/>
      <w:spacing w:line="240" w:lineRule="auto"/>
      <w:jc w:val="left"/>
    </w:pPr>
    <w:rPr>
      <w:bCs/>
      <w:iCs/>
    </w:rPr>
  </w:style>
  <w:style w:type="paragraph" w:customStyle="1" w:styleId="143">
    <w:name w:val="目录 31"/>
    <w:basedOn w:val="1"/>
    <w:next w:val="1"/>
    <w:semiHidden/>
    <w:qFormat/>
    <w:uiPriority w:val="0"/>
    <w:pPr>
      <w:spacing w:line="240" w:lineRule="auto"/>
    </w:pPr>
    <w:rPr>
      <w:rFonts w:ascii="宋体" w:hAnsi="宋体"/>
      <w:iCs/>
    </w:rPr>
  </w:style>
  <w:style w:type="paragraph" w:customStyle="1" w:styleId="144">
    <w:name w:val="目录 41"/>
    <w:basedOn w:val="1"/>
    <w:next w:val="1"/>
    <w:semiHidden/>
    <w:qFormat/>
    <w:uiPriority w:val="0"/>
    <w:pPr>
      <w:adjustRightInd/>
      <w:spacing w:line="240" w:lineRule="auto"/>
      <w:jc w:val="left"/>
    </w:pPr>
  </w:style>
  <w:style w:type="paragraph" w:customStyle="1" w:styleId="145">
    <w:name w:val="目录 51"/>
    <w:basedOn w:val="1"/>
    <w:next w:val="1"/>
    <w:semiHidden/>
    <w:qFormat/>
    <w:uiPriority w:val="0"/>
    <w:pPr>
      <w:spacing w:line="240" w:lineRule="auto"/>
    </w:pPr>
    <w:rPr>
      <w:rFonts w:ascii="宋体" w:hAnsi="宋体"/>
    </w:rPr>
  </w:style>
  <w:style w:type="paragraph" w:customStyle="1" w:styleId="146">
    <w:name w:val="目录 61"/>
    <w:basedOn w:val="1"/>
    <w:next w:val="1"/>
    <w:semiHidden/>
    <w:qFormat/>
    <w:uiPriority w:val="0"/>
    <w:pPr>
      <w:adjustRightInd/>
      <w:spacing w:line="240" w:lineRule="auto"/>
      <w:jc w:val="left"/>
    </w:pPr>
  </w:style>
  <w:style w:type="paragraph" w:customStyle="1" w:styleId="147">
    <w:name w:val="目录 71"/>
    <w:basedOn w:val="146"/>
    <w:semiHidden/>
    <w:qFormat/>
    <w:uiPriority w:val="0"/>
    <w:pPr>
      <w:ind w:left="1260"/>
    </w:pPr>
  </w:style>
  <w:style w:type="paragraph" w:customStyle="1" w:styleId="148">
    <w:name w:val="目录 81"/>
    <w:basedOn w:val="147"/>
    <w:semiHidden/>
    <w:qFormat/>
    <w:uiPriority w:val="0"/>
    <w:pPr>
      <w:ind w:left="1470"/>
    </w:pPr>
  </w:style>
  <w:style w:type="paragraph" w:customStyle="1" w:styleId="149">
    <w:name w:val="目录 91"/>
    <w:basedOn w:val="148"/>
    <w:semiHidden/>
    <w:qFormat/>
    <w:uiPriority w:val="0"/>
    <w:pPr>
      <w:ind w:left="1680"/>
    </w:pPr>
  </w:style>
  <w:style w:type="paragraph" w:customStyle="1" w:styleId="15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qFormat/>
    <w:uiPriority w:val="0"/>
    <w:pPr>
      <w:framePr/>
      <w:spacing w:line="0" w:lineRule="atLeast"/>
    </w:pPr>
    <w:rPr>
      <w:rFonts w:ascii="黑体" w:eastAsia="黑体"/>
      <w:b w:val="0"/>
    </w:rPr>
  </w:style>
  <w:style w:type="paragraph" w:customStyle="1" w:styleId="152">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4">
    <w:name w:val="实施日期"/>
    <w:basedOn w:val="120"/>
    <w:qFormat/>
    <w:uiPriority w:val="0"/>
    <w:pPr>
      <w:framePr w:hSpace="0" w:xAlign="right"/>
      <w:jc w:val="right"/>
    </w:pPr>
  </w:style>
  <w:style w:type="paragraph" w:customStyle="1" w:styleId="155">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6">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6"/>
    <w:qFormat/>
    <w:uiPriority w:val="0"/>
    <w:pPr>
      <w:jc w:val="both"/>
    </w:pPr>
    <w:rPr>
      <w:rFonts w:ascii="宋体" w:hAnsi="宋体" w:eastAsia="宋体" w:cs="Times New Roman"/>
      <w:sz w:val="21"/>
      <w:lang w:val="en-US" w:eastAsia="zh-CN" w:bidi="ar-SA"/>
    </w:rPr>
  </w:style>
  <w:style w:type="paragraph" w:customStyle="1" w:styleId="158">
    <w:name w:val="五级无标题条"/>
    <w:basedOn w:val="1"/>
    <w:qFormat/>
    <w:uiPriority w:val="0"/>
    <w:pPr>
      <w:numPr>
        <w:ilvl w:val="6"/>
        <w:numId w:val="20"/>
      </w:numPr>
      <w:adjustRightInd/>
    </w:pPr>
    <w:rPr>
      <w:szCs w:val="24"/>
    </w:rPr>
  </w:style>
  <w:style w:type="paragraph" w:customStyle="1" w:styleId="159">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0">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qFormat/>
    <w:uiPriority w:val="0"/>
    <w:pPr>
      <w:ind w:left="1406" w:leftChars="0" w:hanging="499" w:firstLineChars="0"/>
    </w:pPr>
  </w:style>
  <w:style w:type="paragraph" w:customStyle="1" w:styleId="162">
    <w:name w:val="标准文件_一级无标题"/>
    <w:basedOn w:val="105"/>
    <w:qFormat/>
    <w:uiPriority w:val="0"/>
    <w:pPr>
      <w:spacing w:before="0" w:beforeLines="0" w:after="0" w:afterLines="0"/>
      <w:outlineLvl w:val="9"/>
    </w:pPr>
    <w:rPr>
      <w:rFonts w:ascii="宋体" w:eastAsia="宋体"/>
    </w:rPr>
  </w:style>
  <w:style w:type="paragraph" w:customStyle="1" w:styleId="163">
    <w:name w:val="标准文件_五级无标题"/>
    <w:basedOn w:val="103"/>
    <w:qFormat/>
    <w:uiPriority w:val="0"/>
    <w:pPr>
      <w:spacing w:before="0" w:beforeLines="0" w:after="0" w:afterLines="0"/>
      <w:outlineLvl w:val="9"/>
    </w:pPr>
    <w:rPr>
      <w:rFonts w:ascii="宋体" w:eastAsia="宋体"/>
    </w:rPr>
  </w:style>
  <w:style w:type="paragraph" w:customStyle="1" w:styleId="164">
    <w:name w:val="标准文件_三级无标题"/>
    <w:basedOn w:val="94"/>
    <w:qFormat/>
    <w:uiPriority w:val="0"/>
    <w:pPr>
      <w:spacing w:before="0" w:beforeLines="0" w:after="0" w:afterLines="0"/>
      <w:outlineLvl w:val="9"/>
    </w:pPr>
    <w:rPr>
      <w:rFonts w:ascii="宋体" w:eastAsia="宋体"/>
    </w:rPr>
  </w:style>
  <w:style w:type="paragraph" w:customStyle="1" w:styleId="165">
    <w:name w:val="标准文件_二级无标题"/>
    <w:basedOn w:val="65"/>
    <w:qFormat/>
    <w:uiPriority w:val="0"/>
    <w:pPr>
      <w:spacing w:before="0" w:beforeLines="0" w:after="0" w:afterLines="0"/>
      <w:outlineLvl w:val="9"/>
    </w:pPr>
    <w:rPr>
      <w:rFonts w:ascii="宋体" w:eastAsia="宋体"/>
    </w:rPr>
  </w:style>
  <w:style w:type="paragraph" w:customStyle="1" w:styleId="166">
    <w:name w:val="标准_四级无标题"/>
    <w:basedOn w:val="98"/>
    <w:next w:val="56"/>
    <w:qFormat/>
    <w:uiPriority w:val="0"/>
    <w:rPr>
      <w:rFonts w:eastAsia="宋体"/>
    </w:rPr>
  </w:style>
  <w:style w:type="paragraph" w:customStyle="1" w:styleId="167">
    <w:name w:val="标准文件_四级无标题"/>
    <w:basedOn w:val="98"/>
    <w:qFormat/>
    <w:uiPriority w:val="0"/>
    <w:pPr>
      <w:spacing w:before="0" w:beforeLines="0" w:after="0" w:afterLines="0"/>
      <w:outlineLvl w:val="9"/>
    </w:pPr>
    <w:rPr>
      <w:rFonts w:ascii="宋体" w:hAnsi="黑体" w:eastAsia="宋体"/>
      <w:szCs w:val="52"/>
    </w:rPr>
  </w:style>
  <w:style w:type="paragraph" w:customStyle="1" w:styleId="168">
    <w:name w:val="标准文件_大写罗马数字编号列项"/>
    <w:basedOn w:val="56"/>
    <w:qFormat/>
    <w:uiPriority w:val="0"/>
    <w:pPr>
      <w:numPr>
        <w:ilvl w:val="0"/>
        <w:numId w:val="23"/>
      </w:numPr>
      <w:ind w:firstLine="0" w:firstLineChars="0"/>
    </w:pPr>
    <w:rPr>
      <w:rFonts w:cs="Arial"/>
      <w:szCs w:val="28"/>
    </w:rPr>
  </w:style>
  <w:style w:type="paragraph" w:customStyle="1" w:styleId="169">
    <w:name w:val="标准文件_小写罗马数字编号列项"/>
    <w:basedOn w:val="56"/>
    <w:qFormat/>
    <w:uiPriority w:val="0"/>
    <w:pPr>
      <w:numPr>
        <w:ilvl w:val="0"/>
        <w:numId w:val="24"/>
      </w:numPr>
      <w:ind w:firstLine="0" w:firstLineChars="0"/>
    </w:pPr>
    <w:rPr>
      <w:rFonts w:cs="Arial"/>
      <w:szCs w:val="28"/>
    </w:rPr>
  </w:style>
  <w:style w:type="paragraph" w:customStyle="1" w:styleId="170">
    <w:name w:val="标准文件_附录标题"/>
    <w:basedOn w:val="76"/>
    <w:qFormat/>
    <w:uiPriority w:val="0"/>
    <w:pPr>
      <w:numPr>
        <w:numId w:val="0"/>
      </w:numPr>
      <w:spacing w:after="280"/>
      <w:outlineLvl w:val="9"/>
    </w:pPr>
  </w:style>
  <w:style w:type="paragraph" w:customStyle="1" w:styleId="171">
    <w:name w:val="标准文件_二级项"/>
    <w:qFormat/>
    <w:uiPriority w:val="0"/>
    <w:rPr>
      <w:rFonts w:ascii="宋体" w:hAnsi="Times New Roman" w:eastAsia="宋体" w:cs="Times New Roman"/>
      <w:sz w:val="21"/>
      <w:lang w:val="en-US" w:eastAsia="zh-CN" w:bidi="ar-SA"/>
    </w:rPr>
  </w:style>
  <w:style w:type="paragraph" w:customStyle="1" w:styleId="172">
    <w:name w:val="标准文件_三级项"/>
    <w:basedOn w:val="1"/>
    <w:qFormat/>
    <w:uiPriority w:val="0"/>
    <w:pPr>
      <w:numPr>
        <w:ilvl w:val="2"/>
        <w:numId w:val="21"/>
      </w:numPr>
      <w:spacing w:line="536870612" w:lineRule="auto"/>
    </w:pPr>
    <w:rPr>
      <w:rFonts w:ascii="Times New Roman" w:hAnsi="Times New Roman"/>
    </w:rPr>
  </w:style>
  <w:style w:type="paragraph" w:customStyle="1" w:styleId="173">
    <w:name w:val="图表脚注说明"/>
    <w:basedOn w:val="1"/>
    <w:next w:val="56"/>
    <w:qFormat/>
    <w:uiPriority w:val="0"/>
    <w:pPr>
      <w:numPr>
        <w:ilvl w:val="0"/>
        <w:numId w:val="25"/>
      </w:numPr>
      <w:adjustRightInd/>
      <w:spacing w:line="240" w:lineRule="auto"/>
    </w:pPr>
    <w:rPr>
      <w:rFonts w:ascii="宋体" w:hAnsi="Times New Roman"/>
      <w:sz w:val="18"/>
      <w:szCs w:val="18"/>
    </w:rPr>
  </w:style>
  <w:style w:type="paragraph" w:customStyle="1" w:styleId="174">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6"/>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6"/>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6"/>
    <w:qFormat/>
    <w:uiPriority w:val="0"/>
    <w:pPr>
      <w:ind w:firstLine="0" w:firstLineChars="0"/>
      <w:jc w:val="center"/>
    </w:pPr>
    <w:rPr>
      <w:sz w:val="18"/>
    </w:rPr>
  </w:style>
  <w:style w:type="paragraph" w:customStyle="1" w:styleId="179">
    <w:name w:val="标准文件_注："/>
    <w:next w:val="56"/>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6"/>
    <w:qFormat/>
    <w:uiPriority w:val="0"/>
    <w:pPr>
      <w:ind w:firstLine="420"/>
    </w:pPr>
    <w:rPr>
      <w:sz w:val="18"/>
    </w:rPr>
  </w:style>
  <w:style w:type="paragraph" w:customStyle="1" w:styleId="183">
    <w:name w:val="标准文件_示例×："/>
    <w:basedOn w:val="1"/>
    <w:next w:val="182"/>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4">
    <w:name w:val="标准文件_段 Char"/>
    <w:link w:val="56"/>
    <w:qFormat/>
    <w:uiPriority w:val="0"/>
    <w:rPr>
      <w:rFonts w:ascii="Times New Roman" w:hAnsi="Times New Roman"/>
      <w:sz w:val="21"/>
    </w:rPr>
  </w:style>
  <w:style w:type="paragraph" w:customStyle="1" w:styleId="185">
    <w:name w:val="标准文件_表格续"/>
    <w:basedOn w:val="56"/>
    <w:next w:val="56"/>
    <w:qFormat/>
    <w:uiPriority w:val="0"/>
    <w:pPr>
      <w:jc w:val="center"/>
    </w:pPr>
    <w:rPr>
      <w:rFonts w:ascii="黑体" w:hAnsi="黑体" w:eastAsia="黑体"/>
    </w:rPr>
  </w:style>
  <w:style w:type="character" w:styleId="186">
    <w:name w:val="Placeholder Text"/>
    <w:basedOn w:val="28"/>
    <w:semiHidden/>
    <w:qFormat/>
    <w:uiPriority w:val="99"/>
    <w:rPr>
      <w:color w:val="808080"/>
    </w:rPr>
  </w:style>
  <w:style w:type="paragraph" w:customStyle="1" w:styleId="187">
    <w:name w:val="标准文件_二级项2"/>
    <w:basedOn w:val="56"/>
    <w:qFormat/>
    <w:uiPriority w:val="0"/>
    <w:pPr>
      <w:numPr>
        <w:ilvl w:val="1"/>
        <w:numId w:val="21"/>
      </w:numPr>
      <w:ind w:firstLine="0" w:firstLineChars="0"/>
    </w:pPr>
  </w:style>
  <w:style w:type="paragraph" w:customStyle="1" w:styleId="188">
    <w:name w:val="标准文件_三级项2"/>
    <w:basedOn w:val="56"/>
    <w:qFormat/>
    <w:uiPriority w:val="0"/>
    <w:pPr>
      <w:numPr>
        <w:ilvl w:val="0"/>
        <w:numId w:val="30"/>
      </w:numPr>
      <w:spacing w:line="300" w:lineRule="exact"/>
      <w:ind w:firstLineChars="0"/>
    </w:pPr>
  </w:style>
  <w:style w:type="paragraph" w:customStyle="1" w:styleId="189">
    <w:name w:val="标准文件_一级项2"/>
    <w:basedOn w:val="56"/>
    <w:qFormat/>
    <w:uiPriority w:val="0"/>
    <w:pPr>
      <w:numPr>
        <w:ilvl w:val="0"/>
        <w:numId w:val="31"/>
      </w:numPr>
      <w:spacing w:line="300" w:lineRule="exact"/>
      <w:ind w:firstLineChars="0"/>
    </w:pPr>
  </w:style>
  <w:style w:type="paragraph" w:customStyle="1" w:styleId="190">
    <w:name w:val="标准文件_提示"/>
    <w:basedOn w:val="56"/>
    <w:next w:val="56"/>
    <w:qFormat/>
    <w:uiPriority w:val="0"/>
    <w:pPr>
      <w:ind w:firstLine="420"/>
    </w:pPr>
    <w:rPr>
      <w:rFonts w:ascii="黑体" w:eastAsia="黑体"/>
    </w:rPr>
  </w:style>
  <w:style w:type="character" w:customStyle="1" w:styleId="191">
    <w:name w:val="标准文件_来源"/>
    <w:basedOn w:val="28"/>
    <w:qFormat/>
    <w:uiPriority w:val="1"/>
    <w:rPr>
      <w:rFonts w:eastAsia="宋体"/>
      <w:sz w:val="21"/>
    </w:rPr>
  </w:style>
  <w:style w:type="paragraph" w:customStyle="1" w:styleId="19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qFormat/>
    <w:uiPriority w:val="0"/>
    <w:pPr>
      <w:framePr w:w="3997" w:h="471" w:hRule="exact" w:hSpace="0" w:vSpace="181" w:vAnchor="page" w:hAnchor="page" w:x="1419" w:y="14097"/>
    </w:pPr>
  </w:style>
  <w:style w:type="paragraph" w:customStyle="1" w:styleId="194">
    <w:name w:val="其他实施日期"/>
    <w:basedOn w:val="154"/>
    <w:qFormat/>
    <w:uiPriority w:val="0"/>
    <w:pPr>
      <w:framePr w:w="3997" w:h="471" w:hRule="exact" w:vSpace="181" w:vAnchor="page" w:hAnchor="page" w:x="7089" w:y="14097"/>
    </w:pPr>
  </w:style>
  <w:style w:type="paragraph" w:customStyle="1" w:styleId="195">
    <w:name w:val="标准文件_文件编号"/>
    <w:basedOn w:val="56"/>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qFormat/>
    <w:uiPriority w:val="0"/>
    <w:pPr>
      <w:spacing w:before="57"/>
    </w:pPr>
    <w:rPr>
      <w:sz w:val="21"/>
    </w:rPr>
  </w:style>
  <w:style w:type="paragraph" w:customStyle="1" w:styleId="197">
    <w:name w:val="标准文件_文件名称"/>
    <w:basedOn w:val="56"/>
    <w:next w:val="56"/>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198">
    <w:name w:val="标准文件_附录图标号"/>
    <w:basedOn w:val="56"/>
    <w:next w:val="56"/>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6"/>
    <w:next w:val="56"/>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6"/>
    <w:next w:val="56"/>
    <w:qFormat/>
    <w:uiPriority w:val="0"/>
    <w:pPr>
      <w:numPr>
        <w:ilvl w:val="1"/>
        <w:numId w:val="8"/>
      </w:numPr>
      <w:spacing w:before="50" w:beforeLines="50" w:after="50" w:afterLines="50"/>
      <w:ind w:firstLineChars="0"/>
    </w:pPr>
    <w:rPr>
      <w:rFonts w:ascii="黑体" w:eastAsia="黑体"/>
    </w:rPr>
  </w:style>
  <w:style w:type="paragraph" w:customStyle="1" w:styleId="201">
    <w:name w:val="标准文件_引言二级条标题"/>
    <w:basedOn w:val="56"/>
    <w:next w:val="56"/>
    <w:qFormat/>
    <w:uiPriority w:val="0"/>
    <w:pPr>
      <w:numPr>
        <w:ilvl w:val="2"/>
        <w:numId w:val="8"/>
      </w:numPr>
      <w:spacing w:before="50" w:beforeLines="50" w:after="50" w:afterLines="50"/>
      <w:ind w:firstLineChars="0"/>
    </w:pPr>
    <w:rPr>
      <w:rFonts w:ascii="黑体" w:eastAsia="黑体"/>
    </w:rPr>
  </w:style>
  <w:style w:type="paragraph" w:customStyle="1" w:styleId="202">
    <w:name w:val="标准文件_引言三级条标题"/>
    <w:basedOn w:val="56"/>
    <w:next w:val="56"/>
    <w:qFormat/>
    <w:uiPriority w:val="0"/>
    <w:pPr>
      <w:numPr>
        <w:ilvl w:val="3"/>
        <w:numId w:val="8"/>
      </w:numPr>
      <w:spacing w:before="50" w:beforeLines="50" w:after="50" w:afterLines="50"/>
      <w:ind w:firstLineChars="0"/>
    </w:pPr>
    <w:rPr>
      <w:rFonts w:ascii="黑体" w:eastAsia="黑体"/>
    </w:rPr>
  </w:style>
  <w:style w:type="paragraph" w:customStyle="1" w:styleId="203">
    <w:name w:val="标准文件_引言四级条标题"/>
    <w:basedOn w:val="56"/>
    <w:next w:val="56"/>
    <w:qFormat/>
    <w:uiPriority w:val="0"/>
    <w:pPr>
      <w:numPr>
        <w:ilvl w:val="4"/>
        <w:numId w:val="8"/>
      </w:numPr>
      <w:spacing w:before="50" w:beforeLines="50" w:after="50" w:afterLines="50"/>
      <w:ind w:firstLineChars="0"/>
    </w:pPr>
    <w:rPr>
      <w:rFonts w:ascii="黑体" w:eastAsia="黑体"/>
    </w:rPr>
  </w:style>
  <w:style w:type="paragraph" w:customStyle="1" w:styleId="204">
    <w:name w:val="标准文件_引言五级条标题"/>
    <w:basedOn w:val="56"/>
    <w:next w:val="56"/>
    <w:qFormat/>
    <w:uiPriority w:val="0"/>
    <w:pPr>
      <w:numPr>
        <w:ilvl w:val="5"/>
        <w:numId w:val="8"/>
      </w:numPr>
      <w:spacing w:before="50" w:beforeLines="50" w:after="50" w:afterLines="50"/>
      <w:ind w:firstLineChars="0"/>
    </w:pPr>
    <w:rPr>
      <w:rFonts w:ascii="黑体" w:eastAsia="黑体"/>
    </w:rPr>
  </w:style>
  <w:style w:type="paragraph" w:customStyle="1" w:styleId="205">
    <w:name w:val="标准文件_注后"/>
    <w:basedOn w:val="56"/>
    <w:qFormat/>
    <w:uiPriority w:val="0"/>
    <w:pPr>
      <w:ind w:left="811" w:firstLine="0" w:firstLineChars="0"/>
    </w:pPr>
    <w:rPr>
      <w:sz w:val="18"/>
    </w:rPr>
  </w:style>
  <w:style w:type="paragraph" w:customStyle="1" w:styleId="206">
    <w:name w:val="标准文件_注X后"/>
    <w:basedOn w:val="56"/>
    <w:qFormat/>
    <w:uiPriority w:val="0"/>
    <w:pPr>
      <w:ind w:left="811" w:firstLine="0" w:firstLineChars="0"/>
    </w:pPr>
    <w:rPr>
      <w:sz w:val="18"/>
    </w:rPr>
  </w:style>
  <w:style w:type="paragraph" w:customStyle="1" w:styleId="207">
    <w:name w:val="标准文件_示例后"/>
    <w:basedOn w:val="56"/>
    <w:qFormat/>
    <w:uiPriority w:val="0"/>
    <w:pPr>
      <w:ind w:left="964" w:firstLine="0" w:firstLineChars="0"/>
    </w:pPr>
    <w:rPr>
      <w:sz w:val="18"/>
    </w:rPr>
  </w:style>
  <w:style w:type="paragraph" w:customStyle="1" w:styleId="208">
    <w:name w:val="标准文件_示例X后"/>
    <w:basedOn w:val="56"/>
    <w:link w:val="209"/>
    <w:qFormat/>
    <w:uiPriority w:val="0"/>
    <w:pPr>
      <w:ind w:left="1049" w:firstLine="0" w:firstLineChars="0"/>
    </w:pPr>
    <w:rPr>
      <w:sz w:val="18"/>
    </w:rPr>
  </w:style>
  <w:style w:type="character" w:customStyle="1" w:styleId="209">
    <w:name w:val="标准文件_示例X后 字符"/>
    <w:basedOn w:val="184"/>
    <w:link w:val="208"/>
    <w:qFormat/>
    <w:uiPriority w:val="0"/>
    <w:rPr>
      <w:rFonts w:ascii="宋体" w:hAnsi="Times New Roman"/>
      <w:sz w:val="18"/>
    </w:rPr>
  </w:style>
  <w:style w:type="paragraph" w:customStyle="1" w:styleId="210">
    <w:name w:val="标准文件_索引项"/>
    <w:basedOn w:val="56"/>
    <w:next w:val="56"/>
    <w:qFormat/>
    <w:uiPriority w:val="0"/>
    <w:pPr>
      <w:tabs>
        <w:tab w:val="right" w:leader="dot" w:pos="9356"/>
      </w:tabs>
      <w:ind w:left="210" w:hanging="210" w:firstLineChars="0"/>
      <w:jc w:val="left"/>
    </w:pPr>
  </w:style>
  <w:style w:type="paragraph" w:customStyle="1" w:styleId="211">
    <w:name w:val="标准文件_附录一级无标题"/>
    <w:basedOn w:val="78"/>
    <w:qFormat/>
    <w:uiPriority w:val="0"/>
    <w:pPr>
      <w:spacing w:before="0" w:beforeLines="0" w:after="0" w:afterLines="0" w:line="276" w:lineRule="auto"/>
      <w:outlineLvl w:val="9"/>
    </w:pPr>
    <w:rPr>
      <w:rFonts w:ascii="宋体" w:eastAsia="宋体"/>
    </w:rPr>
  </w:style>
  <w:style w:type="paragraph" w:customStyle="1" w:styleId="212">
    <w:name w:val="标准文件_附录二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三级无标题"/>
    <w:basedOn w:val="81"/>
    <w:qFormat/>
    <w:uiPriority w:val="0"/>
    <w:pPr>
      <w:spacing w:before="0" w:beforeLines="0" w:after="0" w:afterLines="0" w:line="276" w:lineRule="auto"/>
      <w:outlineLvl w:val="9"/>
    </w:pPr>
    <w:rPr>
      <w:rFonts w:ascii="宋体" w:eastAsia="宋体"/>
    </w:rPr>
  </w:style>
  <w:style w:type="paragraph" w:customStyle="1" w:styleId="214">
    <w:name w:val="标准文件_附录四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五级无标题"/>
    <w:basedOn w:val="84"/>
    <w:qFormat/>
    <w:uiPriority w:val="0"/>
    <w:pPr>
      <w:spacing w:before="0" w:beforeLines="0" w:after="0" w:afterLines="0" w:line="276" w:lineRule="auto"/>
      <w:outlineLvl w:val="9"/>
    </w:pPr>
    <w:rPr>
      <w:rFonts w:ascii="宋体" w:eastAsia="宋体"/>
    </w:rPr>
  </w:style>
  <w:style w:type="paragraph" w:customStyle="1" w:styleId="216">
    <w:name w:val="标准文件_引言一级无标题"/>
    <w:basedOn w:val="200"/>
    <w:next w:val="56"/>
    <w:qFormat/>
    <w:uiPriority w:val="0"/>
    <w:pPr>
      <w:spacing w:before="0" w:beforeLines="0" w:after="0" w:afterLines="0" w:line="276" w:lineRule="auto"/>
    </w:pPr>
    <w:rPr>
      <w:rFonts w:ascii="宋体" w:eastAsia="宋体"/>
    </w:rPr>
  </w:style>
  <w:style w:type="paragraph" w:customStyle="1" w:styleId="217">
    <w:name w:val="标准文件_引言二级无标题"/>
    <w:basedOn w:val="201"/>
    <w:next w:val="56"/>
    <w:qFormat/>
    <w:uiPriority w:val="0"/>
    <w:pPr>
      <w:spacing w:before="0" w:beforeLines="0" w:after="0" w:afterLines="0" w:line="276" w:lineRule="auto"/>
    </w:pPr>
    <w:rPr>
      <w:rFonts w:ascii="宋体" w:eastAsia="宋体"/>
    </w:rPr>
  </w:style>
  <w:style w:type="paragraph" w:customStyle="1" w:styleId="218">
    <w:name w:val="标准文件_引言三级无标题"/>
    <w:basedOn w:val="202"/>
    <w:qFormat/>
    <w:uiPriority w:val="0"/>
    <w:pPr>
      <w:spacing w:before="0" w:beforeLines="0" w:after="0" w:afterLines="0" w:line="276" w:lineRule="auto"/>
    </w:pPr>
    <w:rPr>
      <w:rFonts w:ascii="宋体" w:eastAsia="宋体"/>
    </w:rPr>
  </w:style>
  <w:style w:type="paragraph" w:customStyle="1" w:styleId="219">
    <w:name w:val="标准文件_引言四级无标题"/>
    <w:basedOn w:val="203"/>
    <w:next w:val="56"/>
    <w:qFormat/>
    <w:uiPriority w:val="0"/>
    <w:pPr>
      <w:spacing w:before="0" w:beforeLines="0" w:after="0" w:afterLines="0" w:line="276" w:lineRule="auto"/>
    </w:pPr>
    <w:rPr>
      <w:rFonts w:ascii="宋体" w:eastAsia="宋体"/>
    </w:rPr>
  </w:style>
  <w:style w:type="paragraph" w:customStyle="1" w:styleId="220">
    <w:name w:val="标准文件_引言五级无标题"/>
    <w:basedOn w:val="204"/>
    <w:next w:val="56"/>
    <w:qFormat/>
    <w:uiPriority w:val="0"/>
    <w:pPr>
      <w:spacing w:before="0" w:beforeLines="0" w:after="0" w:afterLines="0" w:line="276" w:lineRule="auto"/>
    </w:pPr>
    <w:rPr>
      <w:rFonts w:ascii="宋体" w:eastAsia="宋体"/>
    </w:rPr>
  </w:style>
  <w:style w:type="paragraph" w:customStyle="1" w:styleId="221">
    <w:name w:val="标准文件_索引标题"/>
    <w:basedOn w:val="63"/>
    <w:next w:val="56"/>
    <w:qFormat/>
    <w:uiPriority w:val="0"/>
    <w:rPr>
      <w:rFonts w:hAnsi="黑体"/>
    </w:rPr>
  </w:style>
  <w:style w:type="paragraph" w:customStyle="1" w:styleId="222">
    <w:name w:val="标准文件_脚注内容"/>
    <w:basedOn w:val="56"/>
    <w:qFormat/>
    <w:uiPriority w:val="0"/>
    <w:pPr>
      <w:ind w:left="400" w:leftChars="200" w:hanging="200" w:hangingChars="200"/>
    </w:pPr>
    <w:rPr>
      <w:sz w:val="15"/>
    </w:rPr>
  </w:style>
  <w:style w:type="paragraph" w:customStyle="1" w:styleId="223">
    <w:name w:val="标准文件_术语条一"/>
    <w:basedOn w:val="162"/>
    <w:next w:val="56"/>
    <w:qFormat/>
    <w:uiPriority w:val="0"/>
  </w:style>
  <w:style w:type="paragraph" w:customStyle="1" w:styleId="224">
    <w:name w:val="标准文件_术语条二"/>
    <w:basedOn w:val="165"/>
    <w:next w:val="56"/>
    <w:qFormat/>
    <w:uiPriority w:val="0"/>
  </w:style>
  <w:style w:type="paragraph" w:customStyle="1" w:styleId="225">
    <w:name w:val="标准文件_术语条三"/>
    <w:basedOn w:val="164"/>
    <w:next w:val="56"/>
    <w:qFormat/>
    <w:uiPriority w:val="0"/>
  </w:style>
  <w:style w:type="paragraph" w:customStyle="1" w:styleId="226">
    <w:name w:val="标准文件_术语条四"/>
    <w:basedOn w:val="167"/>
    <w:next w:val="56"/>
    <w:qFormat/>
    <w:uiPriority w:val="0"/>
  </w:style>
  <w:style w:type="paragraph" w:customStyle="1" w:styleId="227">
    <w:name w:val="标准文件_术语条五"/>
    <w:basedOn w:val="163"/>
    <w:next w:val="56"/>
    <w:qFormat/>
    <w:uiPriority w:val="0"/>
  </w:style>
  <w:style w:type="paragraph" w:customStyle="1" w:styleId="22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发布"/>
    <w:basedOn w:val="28"/>
    <w:qFormat/>
    <w:uiPriority w:val="0"/>
    <w:rPr>
      <w:rFonts w:ascii="黑体" w:eastAsia="黑体"/>
      <w:spacing w:val="85"/>
      <w:w w:val="100"/>
      <w:position w:val="3"/>
      <w:sz w:val="28"/>
      <w:szCs w:val="28"/>
    </w:rPr>
  </w:style>
  <w:style w:type="paragraph" w:customStyle="1" w:styleId="230">
    <w:name w:val="HTML 预设格式1"/>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glossaryDocument" Target="glossary/document.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jpeg"/><Relationship Id="rId13" Type="http://schemas.openxmlformats.org/officeDocument/2006/relationships/image" Target="media/image1.tiff"/><Relationship Id="rId12" Type="http://schemas.openxmlformats.org/officeDocument/2006/relationships/theme" Target="theme/theme1.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trust/C:\Program%20Files%20(x86)\StandardEditor\template\&#22320;&#26041;&#26631;&#20934;.dotx" TargetMode="Externa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44A38090058141E5BCF867FEE79180DC"/>
        <w:style w:val=""/>
        <w:category>
          <w:name w:val="常规"/>
          <w:gallery w:val="placeholder"/>
        </w:category>
        <w:types>
          <w:type w:val="bbPlcHdr"/>
        </w:types>
        <w:behaviors>
          <w:behavior w:val="content"/>
        </w:behaviors>
        <w:description w:val=""/>
        <w:guid w:val="{3E435CD4-A942-486C-B99C-687EB01641D9}"/>
      </w:docPartPr>
      <w:docPartBody>
        <w:p>
          <w:pPr>
            <w:pStyle w:val="5"/>
          </w:pPr>
          <w:r>
            <w:rPr>
              <w:rStyle w:val="4"/>
              <w:rFonts w:hint="eastAsia"/>
            </w:rPr>
            <w:t>单击或点击此处输入文字。</w:t>
          </w:r>
        </w:p>
      </w:docPartBody>
    </w:docPart>
    <w:docPart>
      <w:docPartPr>
        <w:name w:val="83ACEA082902419DAEC754314F0D2502"/>
        <w:style w:val=""/>
        <w:category>
          <w:name w:val="常规"/>
          <w:gallery w:val="placeholder"/>
        </w:category>
        <w:types>
          <w:type w:val="bbPlcHdr"/>
        </w:types>
        <w:behaviors>
          <w:behavior w:val="content"/>
        </w:behaviors>
        <w:description w:val=""/>
        <w:guid w:val="{EAB02F69-0057-4016-B783-9EFBE6ED4674}"/>
      </w:docPartPr>
      <w:docPartBody>
        <w:p>
          <w:pPr>
            <w:pStyle w:val="6"/>
          </w:pPr>
          <w:r>
            <w:rPr>
              <w:rStyle w:val="4"/>
              <w:rFonts w:hint="eastAsia"/>
            </w:rPr>
            <w:t>选择一项。</w:t>
          </w:r>
        </w:p>
      </w:docPartBody>
    </w:docPart>
    <w:docPart>
      <w:docPartPr>
        <w:name w:val="1300A4C75D794D6291D16A5282D6F457"/>
        <w:style w:val=""/>
        <w:category>
          <w:name w:val="常规"/>
          <w:gallery w:val="placeholder"/>
        </w:category>
        <w:types>
          <w:type w:val="bbPlcHdr"/>
        </w:types>
        <w:behaviors>
          <w:behavior w:val="content"/>
        </w:behaviors>
        <w:description w:val=""/>
        <w:guid w:val="{57C2592D-AC40-4B99-9ED8-C705F3CB6DF5}"/>
      </w:docPartPr>
      <w:docPartBody>
        <w:p>
          <w:pPr>
            <w:pStyle w:val="7"/>
          </w:pPr>
          <w:r>
            <w:rPr>
              <w:rStyle w:val="4"/>
              <w:rFonts w:hint="eastAsia"/>
            </w:rPr>
            <w:t>选择一项。</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T Extra"/>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宋体"/>
    <w:panose1 w:val="02010600030101010101"/>
    <w:charset w:val="86"/>
    <w:family w:val="auto"/>
    <w:pitch w:val="default"/>
    <w:sig w:usb0="00000000" w:usb1="00000000" w:usb2="00000016" w:usb3="00000000" w:csb0="0004000F" w:csb1="00000000"/>
  </w:font>
  <w:font w:name="等线">
    <w:altName w:val="汉仪仿宋S"/>
    <w:panose1 w:val="00000000000000000000"/>
    <w:charset w:val="86"/>
    <w:family w:val="auto"/>
    <w:pitch w:val="default"/>
    <w:sig w:usb0="00000000" w:usb1="00000000" w:usb2="00000000" w:usb3="00000000" w:csb0="00000000" w:csb1="00000000"/>
  </w:font>
  <w:font w:name="等线">
    <w:altName w:val="URW Bookman"/>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MT Extra">
    <w:panose1 w:val="02000609000000000000"/>
    <w:charset w:val="00"/>
    <w:family w:val="auto"/>
    <w:pitch w:val="default"/>
    <w:sig w:usb0="00000001" w:usb1="00000000" w:usb2="00000000" w:usb3="00000000" w:csb0="00000001" w:csb1="00000000"/>
  </w:font>
  <w:font w:name="汉仪仿宋S">
    <w:panose1 w:val="00020600040101000101"/>
    <w:charset w:val="86"/>
    <w:family w:val="auto"/>
    <w:pitch w:val="default"/>
    <w:sig w:usb0="A00002BF" w:usb1="38CF7CFA" w:usb2="00000016" w:usb3="00000000" w:csb0="0004009F" w:csb1="00000000"/>
  </w:font>
  <w:font w:name="URW Bookman">
    <w:altName w:val="Times New Roman"/>
    <w:panose1 w:val="00000400000000000000"/>
    <w:charset w:val="00"/>
    <w:family w:val="auto"/>
    <w:pitch w:val="default"/>
    <w:sig w:usb0="00000000" w:usb1="00000000" w:usb2="00000000" w:usb3="00000000" w:csb0="0000000D"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true"/>
  <w:bordersDoNotSurroundFooter w:val="true"/>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3D5"/>
    <w:rsid w:val="00F203D5"/>
    <w:rsid w:val="00F718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44A38090058141E5BCF867FEE79180DC"/>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6">
    <w:name w:val="83ACEA082902419DAEC754314F0D2502"/>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7">
    <w:name w:val="1300A4C75D794D6291D16A5282D6F457"/>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地方标准.dotx</Template>
  <Pages>11</Pages>
  <Words>7736</Words>
  <Characters>7953</Characters>
  <Lines>4</Lines>
  <Paragraphs>1</Paragraphs>
  <TotalTime>118</TotalTime>
  <ScaleCrop>false</ScaleCrop>
  <LinksUpToDate>false</LinksUpToDate>
  <CharactersWithSpaces>8108</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2026-04-13T22:26:00Z</dcterms:created>
  <dc:creator>小王子</dc:creator>
  <cp:lastModifiedBy>trust</cp:lastModifiedBy>
  <cp:lastPrinted>2026-09-30T10:00:07Z</cp:lastPrinted>
  <dcterms:modified xsi:type="dcterms:W3CDTF">2026-09-30T11:10:44Z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GB</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国家标准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ICV">
    <vt:lpwstr>8CF9A1D02737487E929D7D3C44FA9AE4_11</vt:lpwstr>
  </property>
  <property fmtid="{D5CDD505-2E9C-101B-9397-08002B2CF9AE}" pid="15" name="KSOTemplateDocerSaveRecord">
    <vt:lpwstr>eyJoZGlkIjoiZWUwZjUyZDQ5OGYwZjk5N2RkZGFhOWYyZTc0MTU5YTEiLCJ1c2VySWQiOiI0NTk2MzY0MjIifQ==</vt:lpwstr>
  </property>
  <property fmtid="{D5CDD505-2E9C-101B-9397-08002B2CF9AE}" pid="16" name="KSOProductBuildVer">
    <vt:lpwstr>2052-11.8.2.10125</vt:lpwstr>
  </property>
</Properties>
</file>