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eastAsia="方正小标宋简体" w:hAnsiTheme="majorEastAsia"/>
          <w:sz w:val="44"/>
          <w:szCs w:val="44"/>
        </w:rPr>
        <w:t>说明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为维护群众合法权益，提高住房公积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使用率，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筑牢资金安全防线，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湖南省直住房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管理中心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(以下简称“省直中心”)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《湖南省直单位住房公积金失信行为管理办法》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认定和处理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在省直中心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违规缴存、骗提骗贷住房公积金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其他违反住房公积金管理规定的行为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进行修订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。现将修订情况说明如下：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Times New Roman"/>
          <w:sz w:val="32"/>
          <w:szCs w:val="32"/>
        </w:rPr>
        <w:t>原因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原规范性文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件即将过期，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结合实际工作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修订《湖南省直住房公积金失信行为管理办法》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修订</w:t>
      </w:r>
      <w:r>
        <w:rPr>
          <w:rFonts w:hint="eastAsia" w:ascii="Times New Roman" w:hAnsi="黑体" w:eastAsia="黑体" w:cs="Times New Roman"/>
          <w:sz w:val="32"/>
          <w:szCs w:val="32"/>
        </w:rPr>
        <w:t>思路和原则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湖南省直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住房公积金失信行为管理办法</w:t>
      </w:r>
      <w:r>
        <w:rPr>
          <w:rFonts w:hint="eastAsia" w:ascii="仿宋_GB2312" w:eastAsia="仿宋_GB2312"/>
          <w:sz w:val="32"/>
          <w:szCs w:val="32"/>
        </w:rPr>
        <w:t>》（湘管发〔2021〕2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号见附件4）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</w:t>
      </w:r>
      <w:r>
        <w:rPr>
          <w:rFonts w:ascii="楷体" w:hAnsi="楷体" w:eastAsia="楷体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保持政策文件框架、结构不变动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情况下，根据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住房公积金管理条例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》、《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长沙市住房公积金管理条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例</w:t>
      </w:r>
      <w:r>
        <w:rPr>
          <w:rFonts w:hint="eastAsia" w:ascii="仿宋_GB2312" w:eastAsia="仿宋_GB2312"/>
          <w:sz w:val="32"/>
          <w:szCs w:val="32"/>
          <w:lang w:eastAsia="zh-CN"/>
        </w:rPr>
        <w:t>》、《征信业管理条例》，对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认定和处理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在省直中心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违规缴存、骗提骗贷住房公积金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其他违反住房公积金管理规定的行为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内容修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订</w:t>
      </w:r>
      <w:r>
        <w:rPr>
          <w:rFonts w:ascii="Times New Roman" w:hAnsi="Times New Roman" w:eastAsia="仿宋_GB2312" w:cs="Times New Roman"/>
          <w:sz w:val="32"/>
          <w:szCs w:val="32"/>
        </w:rPr>
        <w:t>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调整</w:t>
      </w:r>
      <w:r>
        <w:rPr>
          <w:rFonts w:hint="eastAsia" w:ascii="黑体" w:hAnsi="黑体" w:eastAsia="黑体"/>
          <w:sz w:val="32"/>
          <w:szCs w:val="32"/>
        </w:rPr>
        <w:t>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1.增加了公告送达的规定：第十一条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增加：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省直中心按照当事人登记的住所、通讯地址、联系人等信息无法送达的，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可以通过互联网公告告知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自公告之日起30日内未提交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异议申请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的，视为无异议。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2.完善了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异议申请与复核的相关内容：第十二条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增加：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当事人提出的事实、理由或者证据成立的，应当采纳。事实、理由不充分或未提供相应证据的，不予采纳，并说明理由。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3.增加了将失信行为上传征信系统的限制性规定。第十五条（四）由”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中心可以将失信人失信行为信息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至人民银行征信中心，纳入个人征信管理体系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修改为：“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省直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先告知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失信人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可以将失信人失信行为信息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至人民银行征信中心，纳入个人征信管理体系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。”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E02EA"/>
    <w:multiLevelType w:val="singleLevel"/>
    <w:tmpl w:val="640E02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60F78"/>
    <w:rsid w:val="000121AE"/>
    <w:rsid w:val="00023C69"/>
    <w:rsid w:val="00040090"/>
    <w:rsid w:val="00060F78"/>
    <w:rsid w:val="000F1FC6"/>
    <w:rsid w:val="000F4E45"/>
    <w:rsid w:val="0010377A"/>
    <w:rsid w:val="00121089"/>
    <w:rsid w:val="00174A0C"/>
    <w:rsid w:val="001A1A12"/>
    <w:rsid w:val="001A5A7E"/>
    <w:rsid w:val="001A5E33"/>
    <w:rsid w:val="001E5D4C"/>
    <w:rsid w:val="001E6A40"/>
    <w:rsid w:val="00263B3B"/>
    <w:rsid w:val="00281181"/>
    <w:rsid w:val="002A46F1"/>
    <w:rsid w:val="00355EFA"/>
    <w:rsid w:val="003C68B1"/>
    <w:rsid w:val="00454FC6"/>
    <w:rsid w:val="00461F49"/>
    <w:rsid w:val="00471995"/>
    <w:rsid w:val="00474486"/>
    <w:rsid w:val="004D4A71"/>
    <w:rsid w:val="00503B08"/>
    <w:rsid w:val="00512056"/>
    <w:rsid w:val="00555770"/>
    <w:rsid w:val="00562057"/>
    <w:rsid w:val="005863C0"/>
    <w:rsid w:val="005C7E80"/>
    <w:rsid w:val="00611462"/>
    <w:rsid w:val="006134B6"/>
    <w:rsid w:val="00627CD2"/>
    <w:rsid w:val="00633AFE"/>
    <w:rsid w:val="00656D57"/>
    <w:rsid w:val="0066304C"/>
    <w:rsid w:val="00672A44"/>
    <w:rsid w:val="006C18C1"/>
    <w:rsid w:val="006C54AD"/>
    <w:rsid w:val="00705A2A"/>
    <w:rsid w:val="00720034"/>
    <w:rsid w:val="007325E9"/>
    <w:rsid w:val="0076430E"/>
    <w:rsid w:val="00772AB8"/>
    <w:rsid w:val="007B42D1"/>
    <w:rsid w:val="007F28C1"/>
    <w:rsid w:val="00822668"/>
    <w:rsid w:val="00846815"/>
    <w:rsid w:val="00875EA1"/>
    <w:rsid w:val="00940E4F"/>
    <w:rsid w:val="00962EDA"/>
    <w:rsid w:val="00967D64"/>
    <w:rsid w:val="009856DC"/>
    <w:rsid w:val="00993FDF"/>
    <w:rsid w:val="00A112D7"/>
    <w:rsid w:val="00AF31CC"/>
    <w:rsid w:val="00B14CBC"/>
    <w:rsid w:val="00B17103"/>
    <w:rsid w:val="00B334AE"/>
    <w:rsid w:val="00B37568"/>
    <w:rsid w:val="00B54116"/>
    <w:rsid w:val="00B73B30"/>
    <w:rsid w:val="00BB13C0"/>
    <w:rsid w:val="00BE4F53"/>
    <w:rsid w:val="00C0511F"/>
    <w:rsid w:val="00C450C1"/>
    <w:rsid w:val="00C637AF"/>
    <w:rsid w:val="00C77464"/>
    <w:rsid w:val="00C774DF"/>
    <w:rsid w:val="00C85605"/>
    <w:rsid w:val="00CE72F4"/>
    <w:rsid w:val="00D158D4"/>
    <w:rsid w:val="00E1345D"/>
    <w:rsid w:val="00E17F1D"/>
    <w:rsid w:val="00E851D3"/>
    <w:rsid w:val="00E968EE"/>
    <w:rsid w:val="00EB44E1"/>
    <w:rsid w:val="00F00585"/>
    <w:rsid w:val="00F848CE"/>
    <w:rsid w:val="00FA2B66"/>
    <w:rsid w:val="00FB7540"/>
    <w:rsid w:val="00FE31C9"/>
    <w:rsid w:val="02F80E1E"/>
    <w:rsid w:val="0A312D88"/>
    <w:rsid w:val="0FFFC31E"/>
    <w:rsid w:val="10C63088"/>
    <w:rsid w:val="1CE26BCE"/>
    <w:rsid w:val="214116AB"/>
    <w:rsid w:val="267C3185"/>
    <w:rsid w:val="2DB79D69"/>
    <w:rsid w:val="31BB378E"/>
    <w:rsid w:val="3885243E"/>
    <w:rsid w:val="4A0E57AE"/>
    <w:rsid w:val="507D1CE9"/>
    <w:rsid w:val="654E0EF9"/>
    <w:rsid w:val="68652EE4"/>
    <w:rsid w:val="BBBF8282"/>
    <w:rsid w:val="EFFBF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721</Words>
  <Characters>730</Characters>
  <Lines>15</Lines>
  <Paragraphs>4</Paragraphs>
  <TotalTime>1</TotalTime>
  <ScaleCrop>false</ScaleCrop>
  <LinksUpToDate>false</LinksUpToDate>
  <CharactersWithSpaces>749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2022-06-23T00:54:00Z</dcterms:created>
  <dc:creator>USER</dc:creator>
  <cp:lastModifiedBy>kylin</cp:lastModifiedBy>
  <cp:lastPrinted>2022-07-05T01:17:00Z</cp:lastPrinted>
  <dcterms:modified xsi:type="dcterms:W3CDTF">2026-06-22T17:22:12Z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eyJoZGlkIjoiZjRhMDFmN2JkOTQyNzBjNDViNjcyOGI1YThjM2JlMzYiLCJ1c2VySWQiOiIyNjg2MzY5MDEifQ==</vt:lpwstr>
  </property>
  <property fmtid="{D5CDD505-2E9C-101B-9397-08002B2CF9AE}" pid="3" name="KSOProductBuildVer">
    <vt:lpwstr>2052-11.8.2.11653</vt:lpwstr>
  </property>
  <property fmtid="{D5CDD505-2E9C-101B-9397-08002B2CF9AE}" pid="4" name="ICV">
    <vt:lpwstr>91CB439B9E9F433ABDD162231F2541D5_12</vt:lpwstr>
  </property>
</Properties>
</file>