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B0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HNPR-2026-3000*</w:t>
      </w:r>
    </w:p>
    <w:p w14:paraId="0FB40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left="0" w:right="0" w:firstLine="0"/>
        <w:jc w:val="both"/>
        <w:textAlignment w:val="auto"/>
        <w:outlineLvl w:val="9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</w:p>
    <w:p w14:paraId="2B178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80" w:lineRule="exact"/>
        <w:jc w:val="center"/>
        <w:textAlignment w:val="auto"/>
        <w:rPr>
          <w:rFonts w:hint="eastAsia" w:ascii="方正小标宋简体" w:eastAsia="方正小标宋简体" w:cs="Times New Roman"/>
          <w:color w:val="auto"/>
          <w:sz w:val="44"/>
          <w:szCs w:val="44"/>
        </w:rPr>
      </w:pPr>
      <w:r>
        <w:rPr>
          <w:rFonts w:hint="eastAsia" w:ascii="方正小标宋简体" w:eastAsia="方正小标宋简体" w:cs="Times New Roman"/>
          <w:color w:val="auto"/>
          <w:sz w:val="44"/>
          <w:szCs w:val="44"/>
        </w:rPr>
        <w:t>湖南省直住房公积金失信行</w:t>
      </w:r>
      <w:r>
        <w:rPr>
          <w:rFonts w:hint="eastAsia" w:ascii="方正小标宋简体" w:eastAsia="方正小标宋简体" w:cs="Times New Roman"/>
          <w:color w:val="auto"/>
          <w:sz w:val="44"/>
          <w:szCs w:val="44"/>
          <w:lang w:eastAsia="zh-CN"/>
        </w:rPr>
        <w:t>为</w:t>
      </w:r>
      <w:r>
        <w:rPr>
          <w:rFonts w:hint="eastAsia" w:ascii="方正小标宋简体" w:eastAsia="方正小标宋简体" w:cs="Times New Roman"/>
          <w:color w:val="auto"/>
          <w:sz w:val="44"/>
          <w:szCs w:val="44"/>
        </w:rPr>
        <w:t>管理办法</w:t>
      </w:r>
    </w:p>
    <w:p w14:paraId="79E9B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</w:rPr>
      </w:pPr>
    </w:p>
    <w:p w14:paraId="67CD0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 xml:space="preserve">第一章 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总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则</w:t>
      </w:r>
    </w:p>
    <w:p w14:paraId="08D52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</w:p>
    <w:p w14:paraId="4D56B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第一条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为保障和促进住房公积金业务健康有序运行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维护缴存职工合法权益，倡导单位和个人诚实守信，根据《住房公积金管理条例》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《征信业管理条例》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和《湖南省直住房公积金缴存管理办法》《湖南省直住房公积金提取管理办法》《湖南省直个人住房公积金贷款管理办法》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</w:rPr>
        <w:t>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  <w:lang w:eastAsia="zh-CN"/>
        </w:rPr>
        <w:t>有关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</w:rPr>
        <w:t>规定，结合实际，制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</w:rPr>
        <w:t>本办法。</w:t>
      </w:r>
    </w:p>
    <w:p w14:paraId="714EC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shd w:val="clear" w:color="auto" w:fill="FFFFFF"/>
        </w:rPr>
        <w:t>第二条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</w:rPr>
        <w:t xml:space="preserve"> 本办法适用于湖南省直住房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资金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</w:rPr>
        <w:t>管理中心（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以下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</w:rPr>
        <w:t>简称“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  <w:lang w:eastAsia="zh-CN"/>
        </w:rPr>
        <w:t>省直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</w:rPr>
        <w:t>中心”）发现的失信行为的认定和处理。</w:t>
      </w:r>
    </w:p>
    <w:p w14:paraId="40CC7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第三条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本办法所称失信行为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是指在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省直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中心违规缴存、骗提骗贷住房公积金，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以及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其他违反住房公积金管理规定的行为。</w:t>
      </w:r>
    </w:p>
    <w:p w14:paraId="33998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</w:rPr>
      </w:pPr>
    </w:p>
    <w:p w14:paraId="5A466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 xml:space="preserve">第二章 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失信行为的认定</w:t>
      </w:r>
    </w:p>
    <w:p w14:paraId="5F03E4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</w:p>
    <w:p w14:paraId="6AB85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第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违规缴存，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是指单位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或个人违反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住房公积金缴存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管理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规定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的行为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具体包括：</w:t>
      </w:r>
    </w:p>
    <w:p w14:paraId="0DEF6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（一）不按规定办理单位缴存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登记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的；</w:t>
      </w:r>
    </w:p>
    <w:p w14:paraId="1BA9C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（二）不按规定为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职工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办理账户设立手续的；</w:t>
      </w:r>
    </w:p>
    <w:p w14:paraId="54CC5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（三）为职工开设多个账户同时缴存住房公积金的；</w:t>
      </w:r>
    </w:p>
    <w:p w14:paraId="27D34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（四）逾期不缴或少缴住房公积金的；</w:t>
      </w:r>
    </w:p>
    <w:p w14:paraId="5D2D9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五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）虚构证明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、劳动关系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开设住房公积金账户的；</w:t>
      </w:r>
    </w:p>
    <w:p w14:paraId="6CB2B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六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）单位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住房公积金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专管员在网上业务大厅（单位版）违规操作，私自增加、删减缴存信息或违规授权他人办理住房公积金缴存业务的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6EF09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第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五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骗提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是指违反住房公积金提取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管理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规定，以欺骗手段提取本人或他人住房公积金账户余额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行为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具体包括：</w:t>
      </w:r>
    </w:p>
    <w:p w14:paraId="12D37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（一）利用虚假的身份信息：身份证、户口簿、婚姻状况证明、家庭成员和亲属关系证明等，提取本人或他人住房公积金账户余额的；</w:t>
      </w:r>
    </w:p>
    <w:p w14:paraId="349E6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（二）利用虚假的合同票据：购房合同、借款合同、购房发票、契税发票、贷款结清证明和还贷明细等，提取本人或他人住房公积金账户余额的；</w:t>
      </w:r>
    </w:p>
    <w:p w14:paraId="1942B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（三）利用虚假的权属证书：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不动产权证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书》《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建设工程规划许可证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、危房鉴定证明等，提取本人或他人住房公积金账户余额的；</w:t>
      </w:r>
    </w:p>
    <w:p w14:paraId="00D32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（四）利用虚假的工作关系证明：离职证明、退休证明等，提取本人或他人住房公积金账户余额的；</w:t>
      </w:r>
    </w:p>
    <w:p w14:paraId="5FC74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（五）利用虚假的家庭生活困难证明：重大灾害证明、重大疾病证明、最低生活保证金领取证等，提取本人或他人住房公积金账户余额的；</w:t>
      </w:r>
    </w:p>
    <w:p w14:paraId="27094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（六）办理购房提取后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撤销网签或备案，并未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时退回提取资金的；</w:t>
      </w:r>
    </w:p>
    <w:p w14:paraId="2CBC9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（七）其他违反住房公积金提取规定的行为。</w:t>
      </w:r>
    </w:p>
    <w:p w14:paraId="492C9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第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六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骗贷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是指违反住房公积金贷款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管理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规定，以欺骗手段隐瞒真实情况，提供虚假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料骗取住房公积金贷款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行为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具体包括：</w:t>
      </w:r>
    </w:p>
    <w:p w14:paraId="5F419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（一）虚构婚姻信息、利用虚假的婚姻证明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料骗取住房公积金贷款的；</w:t>
      </w:r>
    </w:p>
    <w:p w14:paraId="21744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（二）虚构或隐瞒家庭房产信息、利用虚假的产权证书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、购房合同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和票据骗取住房公积金贷款的；</w:t>
      </w:r>
    </w:p>
    <w:p w14:paraId="4C9F9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（三）利用虚假的工资收入证明骗取住房公积金贷款的；</w:t>
      </w:r>
    </w:p>
    <w:p w14:paraId="5020F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（四）利用虚假的异地住房公积金缴存情况证明骗取住房公积金贷款的；</w:t>
      </w:r>
    </w:p>
    <w:p w14:paraId="6F69E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（五）虚构劳动关系缴存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住房公积金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骗取住房公积金贷款资格的；</w:t>
      </w:r>
    </w:p>
    <w:p w14:paraId="128B8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（六）其他违反住房公积金贷款规定的行为。</w:t>
      </w:r>
    </w:p>
    <w:p w14:paraId="59D02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第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七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其他失信行为，是指除违规缴存、骗提骗贷住房公积金以外的，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扰乱住房公积金正常业务秩序，损害住房公积金缴存职工合法权益，违反住房公积金管理规定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行为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具体包括：</w:t>
      </w:r>
    </w:p>
    <w:p w14:paraId="6802C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（一）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缴存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单位对符合住房公积金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业务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办理条件的职工不予配合办理的；</w:t>
      </w:r>
    </w:p>
    <w:p w14:paraId="66A70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（二）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缴存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单位或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缴存职工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在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</w:rPr>
        <w:t>线上业务办理过程中故意上传无效、不良或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  <w:lang w:eastAsia="zh-CN"/>
        </w:rPr>
        <w:t>误导性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</w:rPr>
        <w:t>信息，扰乱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  <w:lang w:eastAsia="zh-CN"/>
        </w:rPr>
        <w:t>省直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</w:rPr>
        <w:t>中心线上业务正常开展的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；</w:t>
      </w:r>
    </w:p>
    <w:p w14:paraId="7D95E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（三）个人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</w:rPr>
        <w:t>取得住房公积金贷款后无故停缴住房公积金的；</w:t>
      </w:r>
    </w:p>
    <w:p w14:paraId="1995F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（四）房地产开发企业拒绝或变相拒绝购房人使用住房公积金贷款的；</w:t>
      </w:r>
    </w:p>
    <w:p w14:paraId="1D4B2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（五）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省直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中心发现涉嫌失信行为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时，相关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单位或个人不配合监督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调查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的；</w:t>
      </w:r>
    </w:p>
    <w:p w14:paraId="06E73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（六）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委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托银行、缴存单位及相关工作人员对缴存单位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或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职工住房公积金账户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信息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不予保密造成泄露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的；</w:t>
      </w:r>
    </w:p>
    <w:p w14:paraId="6ABE1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）法律、法规和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其他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规范性文件认定的违规行为。</w:t>
      </w:r>
    </w:p>
    <w:p w14:paraId="40010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</w:rPr>
      </w:pPr>
    </w:p>
    <w:p w14:paraId="708B7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第三章  处理程序</w:t>
      </w:r>
    </w:p>
    <w:p w14:paraId="247C2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</w:p>
    <w:p w14:paraId="60A27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第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八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省直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中心发现涉嫌失信行为的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应当扫描留存全部原始资料和保留全部痕迹信息，视情况暂停办理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当事人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住房公积金相关业务，并根据实际情况决定是否立案。</w:t>
      </w:r>
    </w:p>
    <w:p w14:paraId="6135A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第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九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条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 xml:space="preserve"> 决定予以立案的，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省直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中心应当对失信行为进行核查，收集证据，当事人应当配合中心调查。</w:t>
      </w:r>
    </w:p>
    <w:p w14:paraId="312BD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第十条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调查终结，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省直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中心根据核查情况分别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出如下决定：</w:t>
      </w:r>
    </w:p>
    <w:p w14:paraId="6F1BE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（一）失信行为事实清楚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证据充分的，应当对失信行为作出处理决定，下达处理决定书；</w:t>
      </w:r>
    </w:p>
    <w:p w14:paraId="75722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（二）失信行为不成立的，对符合办理条件的予以办理，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不符合办理条件的将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申请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资料退还当事人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并告知原因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；</w:t>
      </w:r>
    </w:p>
    <w:p w14:paraId="368F3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（三）失信行为涉嫌违法犯罪的，依法移送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相关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机关追究责任。</w:t>
      </w:r>
    </w:p>
    <w:p w14:paraId="6EE3C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第十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一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条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下达处理决定书。省直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中心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应当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通过处理决定书告知当事人作出处理决定的事实、理由及依据，并告知当事人其享有提出异议的权利。处理决定书内容包括：</w:t>
      </w:r>
    </w:p>
    <w:p w14:paraId="761A2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（一）失信人姓名（单位名称）及身份证号码（法人代表姓名）；</w:t>
      </w:r>
    </w:p>
    <w:p w14:paraId="12E43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（二）失信行为的事实证据和认定依据；</w:t>
      </w:r>
    </w:p>
    <w:p w14:paraId="08ACC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（三）处理决定和期限；</w:t>
      </w:r>
    </w:p>
    <w:p w14:paraId="05D82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（四）异议申请途径和期限；</w:t>
      </w:r>
    </w:p>
    <w:p w14:paraId="6A196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（五）作出决定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日期。</w:t>
      </w:r>
    </w:p>
    <w:p w14:paraId="00A9F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省直中心按照当事人登记的住所、通讯地址、联系人等信息无法送达的，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可以通过互联网公告告知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自公告之日起30日内未提交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异议申请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的，视为无异议。</w:t>
      </w:r>
    </w:p>
    <w:p w14:paraId="094E7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第十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二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异议申请与复核。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当事人自收到处理决定书之日起5个工作日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内有权向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省直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中心提出异议申请，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省直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中心应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当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充分听取当事人的陈述、申辩，对当事人提出的事实、理由和证据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应当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进行复核。当事人提出的事实、理由或者证据成立的，应当采纳。事实、理由不充分或未提供相应证据的，不予采纳，并说明理由。</w:t>
      </w:r>
    </w:p>
    <w:p w14:paraId="7E16C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省直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中心应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当自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收到异议申请之日起15个工作日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内完成复核，并根据复核结果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出处理决定。</w:t>
      </w:r>
    </w:p>
    <w:p w14:paraId="34991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当事人对同一事项仅可提出一次异议，在规定期限内未提出异议的视为放弃。</w:t>
      </w:r>
    </w:p>
    <w:p w14:paraId="1FEB6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第十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处理决定自作出之日起执行，异议处理期间不中止执行。</w:t>
      </w:r>
    </w:p>
    <w:p w14:paraId="7E4D4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第十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省直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中心应当自立案之日起30个工作日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内办结，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如遇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需赴外地或跨部门调取证据等复杂情况，不能在规定期限内办结的，经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省直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中心负责人批准，可延长15个工作日，并应当将延长期限的理由告知当事人。</w:t>
      </w:r>
    </w:p>
    <w:p w14:paraId="70C57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</w:rPr>
      </w:pPr>
    </w:p>
    <w:p w14:paraId="7A88B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第四章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责任追究</w:t>
      </w:r>
    </w:p>
    <w:p w14:paraId="48BF6E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</w:p>
    <w:p w14:paraId="7D93B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第十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五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省直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中心可以对失信人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出如下处理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</w:p>
    <w:p w14:paraId="4DC76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（一）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省直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中心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可以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将失信人失信行为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信息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记入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省直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中心业务管理系统，暂停失信人住房公积金提取、贷款、转出以及异地贷款开具缴存情况证明等业务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，限制期限为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2至5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；</w:t>
      </w:r>
    </w:p>
    <w:p w14:paraId="1494A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（二）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省直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中心可以将失信人失信行为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信息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报送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工作单位，失信人属于党政机关、事业单位或国有企业工作人员的，同时报送其所在单位纪检部门，必要时报送上级主管部门或单位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；</w:t>
      </w:r>
    </w:p>
    <w:p w14:paraId="1F72C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（三）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省直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中心可以将失信人失信行为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信息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通过网站、电视、报纸等媒体向外公示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；</w:t>
      </w:r>
    </w:p>
    <w:p w14:paraId="6301B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（四）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省直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中心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在事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先告知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失信人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本人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可以将失信人失信行为信息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上传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至人民银行征信中心，纳入个人征信管理体系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；</w:t>
      </w:r>
    </w:p>
    <w:p w14:paraId="709F5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FF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（五）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省直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中心有权要求失信人在规定时间内全额退回或补缴涉案资金，失信人应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当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在处理决定书生效之日起30个工作日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内全额退回或补缴涉案资金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；</w:t>
      </w:r>
    </w:p>
    <w:p w14:paraId="6A8FB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六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）失信行为涉嫌违法犯罪的，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省直中心将失信人失信行为信息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依法移送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相关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机关追究责任。</w:t>
      </w:r>
    </w:p>
    <w:p w14:paraId="2A71D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第十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六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失信人有下列情形之一的，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省直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中心可以酌情从轻、减轻或免除处理：</w:t>
      </w:r>
    </w:p>
    <w:p w14:paraId="11A84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（一）认错态度良好，积极配合事件的调查和处理的；</w:t>
      </w:r>
    </w:p>
    <w:p w14:paraId="763B9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（二）主动全额退回或补缴涉案资金的；</w:t>
      </w:r>
    </w:p>
    <w:p w14:paraId="2E89A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（三）失信行为未造成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严重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后果的。</w:t>
      </w:r>
    </w:p>
    <w:p w14:paraId="3F305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</w:rPr>
      </w:pPr>
    </w:p>
    <w:p w14:paraId="5F7DB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第五章  附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则</w:t>
      </w:r>
    </w:p>
    <w:p w14:paraId="181E0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</w:p>
    <w:p w14:paraId="5C73C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 w:eastAsia="仿宋_GB2312" w:cs="Times New Roman"/>
          <w:color w:val="000000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第十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七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本办法自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2026年**月**日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起施行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，有效期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5年。</w:t>
      </w:r>
    </w:p>
    <w:p w14:paraId="55F71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57781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643EB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50B5F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05828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5013F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29393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6646A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576" w:bottom="1440" w:left="1576" w:header="851" w:footer="992" w:gutter="0"/>
      <w:cols w:space="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altName w:val="Arial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8D25D4">
    <w:pPr>
      <w:widowControl w:val="0"/>
      <w:tabs>
        <w:tab w:val="center" w:pos="4153"/>
        <w:tab w:val="right" w:pos="8306"/>
      </w:tabs>
      <w:snapToGrid w:val="0"/>
      <w:jc w:val="righ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2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300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300" cy="230584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  <a:effectLst/>
                    </wps:spPr>
                    <wps:txbx>
                      <w:txbxContent>
                        <w:p w14:paraId="04CEE89B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8.15pt;width:49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ck2iV1gAAAAMBAAAPAAAAAAAAAAEAIAAAACIAAABkcnMv&#10;ZG93bnJldi54bWxQSwECFAAUAAAACACHTuJAMrgqqQUCAAACBAAADgAAAAAAAAABACAAAAAlAQAA&#10;ZHJzL2Uyb0RvYy54bWxQSwUGAAAAAAYABgBZAQAAnAUAAAAA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04CEE89B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ACD0FA">
    <w:pPr>
      <w:widowControl w:val="0"/>
      <w:pBdr>
        <w:bottom w:val="none" w:color="auto" w:sz="0" w:space="1"/>
      </w:pBdr>
      <w:tabs>
        <w:tab w:val="center" w:pos="4153"/>
        <w:tab w:val="right" w:pos="8306"/>
      </w:tabs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  <w:p w14:paraId="759FB0D5">
    <w:pPr>
      <w:spacing w:line="0" w:lineRule="auto"/>
    </w:pPr>
  </w:p>
  <w:p w14:paraId="6E1D01A1">
    <w:pPr>
      <w:spacing w:line="0" w:lineRule="auto"/>
    </w:pPr>
  </w:p>
  <w:p w14:paraId="0A64A432">
    <w:pPr>
      <w:spacing w:line="0" w:lineRule="auto"/>
    </w:pPr>
  </w:p>
  <w:p w14:paraId="5F2EFA2E">
    <w:pPr>
      <w:spacing w:line="0" w:lineRule="auto"/>
    </w:pPr>
  </w:p>
  <w:p w14:paraId="3CA5745F">
    <w:pPr>
      <w:spacing w:line="0" w:lineRule="auto"/>
    </w:pPr>
  </w:p>
  <w:p w14:paraId="03F813E7">
    <w:pPr>
      <w:spacing w:line="0" w:lineRule="auto"/>
    </w:pPr>
  </w:p>
  <w:p w14:paraId="4BCB98A5">
    <w:pPr>
      <w:spacing w:line="0" w:lineRule="auto"/>
    </w:pPr>
  </w:p>
  <w:p w14:paraId="37F7A41F">
    <w:pPr>
      <w:spacing w:line="0" w:lineRule="auto"/>
    </w:pPr>
  </w:p>
  <w:p w14:paraId="02070ECA">
    <w:pPr>
      <w:spacing w:line="0" w:lineRule="auto"/>
    </w:pPr>
  </w:p>
  <w:p w14:paraId="6385C55D">
    <w:pPr>
      <w:spacing w:line="0" w:lineRule="auto"/>
    </w:pPr>
  </w:p>
  <w:p w14:paraId="309D1785">
    <w:pPr>
      <w:spacing w:line="0" w:lineRule="auto"/>
    </w:pPr>
  </w:p>
  <w:p w14:paraId="1C27D1A8">
    <w:pPr>
      <w:spacing w:line="0" w:lineRule="auto"/>
    </w:pPr>
  </w:p>
  <w:p w14:paraId="58B7ACC1">
    <w:pPr>
      <w:spacing w:line="0" w:lineRule="auto"/>
    </w:pPr>
  </w:p>
  <w:p w14:paraId="53762BF0">
    <w:pPr>
      <w:spacing w:line="0" w:lineRule="auto"/>
    </w:pPr>
  </w:p>
  <w:p w14:paraId="27B5F99C">
    <w:pPr>
      <w:spacing w:line="0" w:lineRule="auto"/>
    </w:pPr>
  </w:p>
  <w:p w14:paraId="20FA8D97">
    <w:pPr>
      <w:spacing w:line="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17D1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link w:val="17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qFormat/>
    <w:uiPriority w:val="0"/>
  </w:style>
  <w:style w:type="table" w:default="1" w:styleId="1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toc 5"/>
    <w:basedOn w:val="1"/>
    <w:next w:val="1"/>
    <w:autoRedefine/>
    <w:qFormat/>
    <w:uiPriority w:val="0"/>
    <w:pPr>
      <w:ind w:left="1680"/>
    </w:pPr>
  </w:style>
  <w:style w:type="paragraph" w:styleId="7">
    <w:name w:val="toc 3"/>
    <w:basedOn w:val="1"/>
    <w:next w:val="1"/>
    <w:autoRedefine/>
    <w:qFormat/>
    <w:uiPriority w:val="0"/>
    <w:pPr>
      <w:ind w:left="84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1"/>
    <w:basedOn w:val="1"/>
    <w:next w:val="1"/>
    <w:autoRedefine/>
    <w:qFormat/>
    <w:uiPriority w:val="0"/>
  </w:style>
  <w:style w:type="paragraph" w:styleId="11">
    <w:name w:val="toc 4"/>
    <w:basedOn w:val="1"/>
    <w:next w:val="1"/>
    <w:autoRedefine/>
    <w:qFormat/>
    <w:uiPriority w:val="0"/>
    <w:pPr>
      <w:ind w:left="1260"/>
    </w:pPr>
  </w:style>
  <w:style w:type="paragraph" w:styleId="12">
    <w:name w:val="toc 2"/>
    <w:basedOn w:val="1"/>
    <w:next w:val="1"/>
    <w:autoRedefine/>
    <w:qFormat/>
    <w:uiPriority w:val="0"/>
    <w:pPr>
      <w:ind w:left="420"/>
    </w:pPr>
  </w:style>
  <w:style w:type="character" w:customStyle="1" w:styleId="15">
    <w:name w:val="heading 1 Char"/>
    <w:basedOn w:val="14"/>
    <w:link w:val="2"/>
    <w:uiPriority w:val="0"/>
    <w:rPr>
      <w:rFonts w:ascii="Calibri" w:hAnsi="Calibri" w:eastAsia="宋体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16">
    <w:name w:val="heading 2 Char"/>
    <w:basedOn w:val="14"/>
    <w:link w:val="3"/>
    <w:uiPriority w:val="0"/>
    <w:rPr>
      <w:rFonts w:ascii="Times New Roman" w:hAnsi="Times New Roman" w:eastAsia="黑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17">
    <w:name w:val="heading 3 Char"/>
    <w:basedOn w:val="14"/>
    <w:link w:val="4"/>
    <w:qFormat/>
    <w:uiPriority w:val="0"/>
    <w:rPr>
      <w:rFonts w:ascii="Calibri" w:hAnsi="Calibri" w:eastAsia="宋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ap="flat" cmpd="sng">
          <a:solidFill>
            <a:schemeClr val="phClr"/>
          </a:solidFill>
          <a:prstDash val="solid"/>
          <a:round/>
        </a:ln>
        <a:ln w="38100" cap="flat" cmpd="sng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blurRad="40000" dist="20000" dir="5400000" rotWithShape="0">
              <a:srgbClr val="000000">
                <a:alpha val="37647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50000" r="50000" b="5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ustomData xmlns="http://www.yozosoft.com.cn/officeDocument/2016/customData">
  <customProps>
    <docPr revisions="3 0 5 0 0 0 1 0 0 0 26650 1 1 1 1 1"/>
    <sectPr/>
    <sectPr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C3AEFE-DADA-4EA0-91D0-6D18AE92A0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7</Pages>
  <Words>151</Words>
  <Characters>173</Characters>
  <Lines>0</Lines>
  <Paragraphs>107</Paragraphs>
  <TotalTime>16</TotalTime>
  <ScaleCrop>false</ScaleCrop>
  <LinksUpToDate>false</LinksUpToDate>
  <CharactersWithSpaces>215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2021-04-09T03:06:00Z</dcterms:created>
  <dc:creator>Administrator</dc:creator>
  <cp:lastModifiedBy>❄️静静静静</cp:lastModifiedBy>
  <dcterms:modified xsi:type="dcterms:W3CDTF">2026-06-18T07:24:33Z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01A97232D1004EBBA99F62089220479C_13</vt:lpwstr>
  </property>
  <property fmtid="{D5CDD505-2E9C-101B-9397-08002B2CF9AE}" pid="4" name="KSOTemplateDocerSaveRecord">
    <vt:lpwstr>eyJoZGlkIjoiZjRhMDFmN2JkOTQyNzBjNDViNjcyOGI1YThjM2JlMzYiLCJ1c2VySWQiOiIyNjg2MzY5MDEifQ==</vt:lpwstr>
  </property>
</Properties>
</file>