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single"/>
          <w:lang w:bidi="ar"/>
        </w:rPr>
        <w:t xml:space="preserve">  （单位）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bidi="ar"/>
        </w:rPr>
        <w:t>办公用房维修投资估算明细表（20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bidi="ar"/>
        </w:rPr>
        <w:t>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bidi="ar"/>
        </w:rPr>
      </w:pPr>
    </w:p>
    <w:tbl>
      <w:tblPr>
        <w:tblStyle w:val="5"/>
        <w:tblW w:w="904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2106"/>
        <w:gridCol w:w="878"/>
        <w:gridCol w:w="1031"/>
        <w:gridCol w:w="1342"/>
        <w:gridCol w:w="1396"/>
        <w:gridCol w:w="152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单价(元)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合价（万元）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  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（具体部位）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一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拆除工程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土建部分拆除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安装部分拆除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建筑工程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室内装饰工程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外墙装饰工程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电气工程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六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给排水工程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七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弱电工程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八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监控工程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九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消防工程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十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暖通工程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十一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室外工程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十二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其它工程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十三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06C04"/>
    <w:rsid w:val="52831BDC"/>
    <w:rsid w:val="7C506C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2021-01-12T07:49:00Z</dcterms:created>
  <dc:creator>陈  伟</dc:creator>
  <cp:lastModifiedBy>陈  伟</cp:lastModifiedBy>
  <dcterms:modified xsi:type="dcterms:W3CDTF">2021-01-12T07:53:52Z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