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关于湖南省内</w:t>
      </w:r>
      <w:r>
        <w:rPr>
          <w:rFonts w:hint="default" w:ascii="Times New Roman" w:hAnsi="Times New Roman" w:eastAsia="方正小标宋简体" w:cs="Times New Roman"/>
          <w:b w:val="0"/>
          <w:bCs w:val="0"/>
          <w:sz w:val="44"/>
          <w:szCs w:val="44"/>
        </w:rPr>
        <w:t>高层次人才申请</w:t>
      </w:r>
    </w:p>
    <w:p>
      <w:pPr>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住房</w:t>
      </w:r>
      <w:r>
        <w:rPr>
          <w:rFonts w:hint="default" w:ascii="Times New Roman" w:hAnsi="Times New Roman" w:eastAsia="方正小标宋简体" w:cs="Times New Roman"/>
          <w:b w:val="0"/>
          <w:bCs w:val="0"/>
          <w:sz w:val="44"/>
          <w:szCs w:val="44"/>
        </w:rPr>
        <w:t>公积金贷款</w:t>
      </w:r>
      <w:r>
        <w:rPr>
          <w:rFonts w:hint="default" w:ascii="Times New Roman" w:hAnsi="Times New Roman" w:eastAsia="方正小标宋简体" w:cs="Times New Roman"/>
          <w:b w:val="0"/>
          <w:bCs w:val="0"/>
          <w:sz w:val="44"/>
          <w:szCs w:val="44"/>
          <w:lang w:eastAsia="zh-CN"/>
        </w:rPr>
        <w:t>的通知</w:t>
      </w:r>
      <w:bookmarkStart w:id="0" w:name="_GoBack"/>
      <w:bookmarkEnd w:id="0"/>
    </w:p>
    <w:p>
      <w:pPr>
        <w:pStyle w:val="2"/>
        <w:rPr>
          <w:rFonts w:hint="default"/>
          <w:lang w:eastAsia="zh-CN"/>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湘直资管〔202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各有关单位、住房公积金缴存职工：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根据长沙市住房公积金管理委员会发布的《中国（湖南）自由贸易试验区长沙片区高层次人才申请住房公积金贷款实施细则（试行）》（长金管委〔2021〕3号）文件精神，经湖南省直单位住房公积金管理中心（简称“省直中心”）主任会研究决定，现就关于湖南省内高层次人才申请住房公积金贷款的有关事项通知如下：</w:t>
      </w:r>
    </w:p>
    <w:p>
      <w:pPr>
        <w:keepNext w:val="0"/>
        <w:keepLines w:val="0"/>
        <w:pageBreakBefore w:val="0"/>
        <w:widowControl w:val="0"/>
        <w:numPr>
          <w:ilvl w:val="0"/>
          <w:numId w:val="0"/>
        </w:numPr>
        <w:kinsoku/>
        <w:wordWrap/>
        <w:overflowPunct/>
        <w:topLinePunct w:val="0"/>
        <w:bidi w:val="0"/>
        <w:snapToGrid/>
        <w:spacing w:line="240" w:lineRule="auto"/>
        <w:ind w:left="0" w:firstLine="640" w:firstLineChars="200"/>
        <w:jc w:val="both"/>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一、贷款对象</w:t>
      </w:r>
    </w:p>
    <w:p>
      <w:pPr>
        <w:keepNext w:val="0"/>
        <w:keepLines w:val="0"/>
        <w:pageBreakBefore w:val="0"/>
        <w:widowControl w:val="0"/>
        <w:numPr>
          <w:ilvl w:val="0"/>
          <w:numId w:val="0"/>
        </w:numPr>
        <w:kinsoku/>
        <w:wordWrap/>
        <w:overflowPunct/>
        <w:topLinePunct w:val="0"/>
        <w:bidi w:val="0"/>
        <w:snapToGrid/>
        <w:spacing w:line="240" w:lineRule="auto"/>
        <w:ind w:left="0" w:leftChars="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经省、市人才办、组织与人社部门认定为A、B、C、D类高层次人才，获得人才绿卡或人才证书，省内其他市州高层次人才符合长沙市人才认定标准可参照执行。</w:t>
      </w:r>
    </w:p>
    <w:p>
      <w:pPr>
        <w:keepNext w:val="0"/>
        <w:keepLines w:val="0"/>
        <w:pageBreakBefore w:val="0"/>
        <w:widowControl w:val="0"/>
        <w:numPr>
          <w:ilvl w:val="0"/>
          <w:numId w:val="0"/>
        </w:numPr>
        <w:kinsoku/>
        <w:wordWrap/>
        <w:overflowPunct/>
        <w:topLinePunct w:val="0"/>
        <w:bidi w:val="0"/>
        <w:snapToGrid/>
        <w:spacing w:line="240" w:lineRule="auto"/>
        <w:ind w:left="0" w:firstLine="640" w:firstLineChars="200"/>
        <w:jc w:val="both"/>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二、贷款条件</w:t>
      </w:r>
    </w:p>
    <w:p>
      <w:pPr>
        <w:keepNext w:val="0"/>
        <w:keepLines w:val="0"/>
        <w:pageBreakBefore w:val="0"/>
        <w:widowControl w:val="0"/>
        <w:numPr>
          <w:ilvl w:val="0"/>
          <w:numId w:val="0"/>
        </w:numPr>
        <w:kinsoku/>
        <w:wordWrap/>
        <w:overflowPunct/>
        <w:topLinePunct w:val="0"/>
        <w:bidi w:val="0"/>
        <w:snapToGrid/>
        <w:spacing w:line="240" w:lineRule="auto"/>
        <w:ind w:lef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（一）高层次人才在湖南省范围内（省直中心及省内其他住房公积金管理中心，不含长沙住房公积金管理中心）正常缴存住房公积金，不受正常缴存12个月以上的限制；</w:t>
      </w:r>
    </w:p>
    <w:p>
      <w:pPr>
        <w:keepNext w:val="0"/>
        <w:keepLines w:val="0"/>
        <w:pageBreakBefore w:val="0"/>
        <w:widowControl w:val="0"/>
        <w:numPr>
          <w:ilvl w:val="0"/>
          <w:numId w:val="0"/>
        </w:numPr>
        <w:kinsoku/>
        <w:wordWrap/>
        <w:overflowPunct/>
        <w:topLinePunct w:val="0"/>
        <w:bidi w:val="0"/>
        <w:snapToGrid/>
        <w:spacing w:line="240" w:lineRule="auto"/>
        <w:ind w:lef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（二）购买的房产在长沙行政区域内，且属于借款人家庭的首套自住住房；</w:t>
      </w:r>
    </w:p>
    <w:p>
      <w:pPr>
        <w:keepNext w:val="0"/>
        <w:keepLines w:val="0"/>
        <w:pageBreakBefore w:val="0"/>
        <w:widowControl w:val="0"/>
        <w:numPr>
          <w:ilvl w:val="0"/>
          <w:numId w:val="0"/>
        </w:numPr>
        <w:kinsoku/>
        <w:wordWrap/>
        <w:overflowPunct/>
        <w:topLinePunct w:val="0"/>
        <w:bidi w:val="0"/>
        <w:snapToGrid/>
        <w:spacing w:line="240" w:lineRule="auto"/>
        <w:ind w:lef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（三）高层次人才作为主借款人申请住房公积金贷款；</w:t>
      </w:r>
    </w:p>
    <w:p>
      <w:pPr>
        <w:keepNext w:val="0"/>
        <w:keepLines w:val="0"/>
        <w:pageBreakBefore w:val="0"/>
        <w:widowControl w:val="0"/>
        <w:numPr>
          <w:ilvl w:val="0"/>
          <w:numId w:val="0"/>
        </w:numPr>
        <w:kinsoku/>
        <w:wordWrap/>
        <w:overflowPunct/>
        <w:topLinePunct w:val="0"/>
        <w:bidi w:val="0"/>
        <w:snapToGrid/>
        <w:spacing w:line="240" w:lineRule="auto"/>
        <w:ind w:lef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（四）符合现行省直中心公积金贷款政策规定的其他条件。</w:t>
      </w:r>
    </w:p>
    <w:p>
      <w:pPr>
        <w:keepNext w:val="0"/>
        <w:keepLines w:val="0"/>
        <w:pageBreakBefore w:val="0"/>
        <w:widowControl w:val="0"/>
        <w:numPr>
          <w:ilvl w:val="0"/>
          <w:numId w:val="0"/>
        </w:numPr>
        <w:kinsoku/>
        <w:wordWrap/>
        <w:overflowPunct/>
        <w:topLinePunct w:val="0"/>
        <w:bidi w:val="0"/>
        <w:snapToGrid/>
        <w:spacing w:line="240" w:lineRule="auto"/>
        <w:ind w:left="0" w:firstLine="640" w:firstLineChars="200"/>
        <w:jc w:val="both"/>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三、贷款额度</w:t>
      </w:r>
    </w:p>
    <w:p>
      <w:pPr>
        <w:keepNext w:val="0"/>
        <w:keepLines w:val="0"/>
        <w:pageBreakBefore w:val="0"/>
        <w:widowControl w:val="0"/>
        <w:numPr>
          <w:ilvl w:val="0"/>
          <w:numId w:val="0"/>
        </w:numPr>
        <w:kinsoku/>
        <w:wordWrap/>
        <w:overflowPunct/>
        <w:topLinePunct w:val="0"/>
        <w:bidi w:val="0"/>
        <w:snapToGrid/>
        <w:spacing w:line="240" w:lineRule="auto"/>
        <w:ind w:left="0" w:leftChars="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（一）最高贷款额度</w:t>
      </w:r>
    </w:p>
    <w:p>
      <w:pPr>
        <w:keepNext w:val="0"/>
        <w:keepLines w:val="0"/>
        <w:pageBreakBefore w:val="0"/>
        <w:widowControl w:val="0"/>
        <w:numPr>
          <w:ilvl w:val="0"/>
          <w:numId w:val="0"/>
        </w:numPr>
        <w:kinsoku/>
        <w:wordWrap/>
        <w:overflowPunct/>
        <w:topLinePunct w:val="0"/>
        <w:bidi w:val="0"/>
        <w:snapToGrid/>
        <w:spacing w:line="240" w:lineRule="auto"/>
        <w:ind w:left="0" w:leftChars="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高层次人才申请个人住房公积金贷款额度，最高可放宽至省直中心最高贷款额度的4倍。</w:t>
      </w:r>
    </w:p>
    <w:p>
      <w:pPr>
        <w:keepNext w:val="0"/>
        <w:keepLines w:val="0"/>
        <w:pageBreakBefore w:val="0"/>
        <w:widowControl w:val="0"/>
        <w:numPr>
          <w:ilvl w:val="0"/>
          <w:numId w:val="0"/>
        </w:numPr>
        <w:kinsoku/>
        <w:wordWrap/>
        <w:overflowPunct/>
        <w:topLinePunct w:val="0"/>
        <w:bidi w:val="0"/>
        <w:snapToGrid/>
        <w:spacing w:line="240" w:lineRule="auto"/>
        <w:ind w:left="0" w:leftChars="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（二）可贷额度计算公式</w:t>
      </w:r>
    </w:p>
    <w:p>
      <w:pPr>
        <w:keepNext w:val="0"/>
        <w:keepLines w:val="0"/>
        <w:pageBreakBefore w:val="0"/>
        <w:widowControl w:val="0"/>
        <w:numPr>
          <w:ilvl w:val="0"/>
          <w:numId w:val="0"/>
        </w:numPr>
        <w:kinsoku/>
        <w:wordWrap/>
        <w:overflowPunct/>
        <w:topLinePunct w:val="0"/>
        <w:bidi w:val="0"/>
        <w:snapToGrid/>
        <w:spacing w:line="240" w:lineRule="auto"/>
        <w:ind w:left="0" w:leftChars="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最高贷款额度=（借款人住房公积金账户余额×N倍数×4）+（配偶住房公积金账户余额×N倍数）。</w:t>
      </w:r>
    </w:p>
    <w:p>
      <w:pPr>
        <w:pStyle w:val="2"/>
        <w:keepNext w:val="0"/>
        <w:keepLines w:val="0"/>
        <w:pageBreakBefore w:val="0"/>
        <w:widowControl w:val="0"/>
        <w:kinsoku/>
        <w:wordWrap/>
        <w:overflowPunct/>
        <w:topLinePunct w:val="0"/>
        <w:bidi w:val="0"/>
        <w:snapToGrid/>
        <w:spacing w:line="240" w:lineRule="auto"/>
        <w:ind w:lef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val="0"/>
          <w:bCs w:val="0"/>
          <w:kern w:val="2"/>
          <w:sz w:val="32"/>
          <w:szCs w:val="32"/>
          <w:lang w:val="en-US" w:eastAsia="zh-CN" w:bidi="ar-SA"/>
        </w:rPr>
        <w:t>配偶如果也属高层次人才的，则最高贷款额度=（借款人住房公积金账户余额+配偶住房公积金账户余额）×N倍数×4，但夫妻双方合计最高贷款额度不超过240万元。</w:t>
      </w:r>
    </w:p>
    <w:p>
      <w:pPr>
        <w:keepNext w:val="0"/>
        <w:keepLines w:val="0"/>
        <w:pageBreakBefore w:val="0"/>
        <w:widowControl w:val="0"/>
        <w:numPr>
          <w:ilvl w:val="0"/>
          <w:numId w:val="0"/>
        </w:numPr>
        <w:kinsoku/>
        <w:wordWrap/>
        <w:overflowPunct/>
        <w:topLinePunct w:val="0"/>
        <w:bidi w:val="0"/>
        <w:snapToGrid/>
        <w:spacing w:line="240" w:lineRule="auto"/>
        <w:ind w:left="0" w:leftChars="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（三）最终贷款额度计算</w:t>
      </w:r>
    </w:p>
    <w:p>
      <w:pPr>
        <w:keepNext w:val="0"/>
        <w:keepLines w:val="0"/>
        <w:pageBreakBefore w:val="0"/>
        <w:widowControl w:val="0"/>
        <w:numPr>
          <w:ilvl w:val="0"/>
          <w:numId w:val="0"/>
        </w:numPr>
        <w:kinsoku/>
        <w:wordWrap/>
        <w:overflowPunct/>
        <w:topLinePunct w:val="0"/>
        <w:bidi w:val="0"/>
        <w:snapToGrid/>
        <w:spacing w:line="240" w:lineRule="auto"/>
        <w:ind w:left="0" w:leftChars="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最终贷款额度为在最高贷款额度内按照可贷额度计算公式、首付款比例、还贷能力等进行测算后取低值。</w:t>
      </w:r>
    </w:p>
    <w:p>
      <w:pPr>
        <w:keepNext w:val="0"/>
        <w:keepLines w:val="0"/>
        <w:pageBreakBefore w:val="0"/>
        <w:widowControl w:val="0"/>
        <w:numPr>
          <w:ilvl w:val="0"/>
          <w:numId w:val="0"/>
        </w:numPr>
        <w:kinsoku/>
        <w:wordWrap/>
        <w:overflowPunct/>
        <w:topLinePunct w:val="0"/>
        <w:bidi w:val="0"/>
        <w:snapToGrid/>
        <w:spacing w:line="240" w:lineRule="auto"/>
        <w:ind w:left="0" w:firstLine="640" w:firstLineChars="200"/>
        <w:jc w:val="both"/>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四、办理地点</w:t>
      </w:r>
    </w:p>
    <w:p>
      <w:pPr>
        <w:keepNext w:val="0"/>
        <w:keepLines w:val="0"/>
        <w:pageBreakBefore w:val="0"/>
        <w:widowControl w:val="0"/>
        <w:numPr>
          <w:ilvl w:val="0"/>
          <w:numId w:val="0"/>
        </w:numPr>
        <w:kinsoku/>
        <w:wordWrap/>
        <w:overflowPunct/>
        <w:topLinePunct w:val="0"/>
        <w:bidi w:val="0"/>
        <w:snapToGrid/>
        <w:spacing w:line="240" w:lineRule="auto"/>
        <w:ind w:left="0" w:leftChars="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省政务服务大厅营业部</w:t>
      </w:r>
    </w:p>
    <w:p>
      <w:pPr>
        <w:keepNext w:val="0"/>
        <w:keepLines w:val="0"/>
        <w:pageBreakBefore w:val="0"/>
        <w:widowControl w:val="0"/>
        <w:numPr>
          <w:ilvl w:val="0"/>
          <w:numId w:val="0"/>
        </w:numPr>
        <w:kinsoku/>
        <w:wordWrap/>
        <w:overflowPunct/>
        <w:topLinePunct w:val="0"/>
        <w:bidi w:val="0"/>
        <w:snapToGrid/>
        <w:spacing w:line="240" w:lineRule="auto"/>
        <w:ind w:lef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（长沙市天心区银杏路6号人社厅综合楼）</w:t>
      </w:r>
    </w:p>
    <w:p>
      <w:pPr>
        <w:keepNext w:val="0"/>
        <w:keepLines w:val="0"/>
        <w:pageBreakBefore w:val="0"/>
        <w:widowControl w:val="0"/>
        <w:numPr>
          <w:ilvl w:val="0"/>
          <w:numId w:val="0"/>
        </w:numPr>
        <w:kinsoku/>
        <w:wordWrap/>
        <w:overflowPunct/>
        <w:topLinePunct w:val="0"/>
        <w:bidi w:val="0"/>
        <w:snapToGrid/>
        <w:spacing w:line="240" w:lineRule="auto"/>
        <w:ind w:left="0" w:firstLine="640" w:firstLineChars="200"/>
        <w:jc w:val="both"/>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五、办理时间</w:t>
      </w:r>
    </w:p>
    <w:p>
      <w:pPr>
        <w:keepNext w:val="0"/>
        <w:keepLines w:val="0"/>
        <w:pageBreakBefore w:val="0"/>
        <w:widowControl w:val="0"/>
        <w:numPr>
          <w:ilvl w:val="0"/>
          <w:numId w:val="0"/>
        </w:numPr>
        <w:kinsoku/>
        <w:wordWrap/>
        <w:overflowPunct/>
        <w:topLinePunct w:val="0"/>
        <w:bidi w:val="0"/>
        <w:snapToGrid/>
        <w:spacing w:line="240" w:lineRule="auto"/>
        <w:ind w:lef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星期一至星期五</w:t>
      </w:r>
    </w:p>
    <w:p>
      <w:pPr>
        <w:keepNext w:val="0"/>
        <w:keepLines w:val="0"/>
        <w:pageBreakBefore w:val="0"/>
        <w:widowControl w:val="0"/>
        <w:numPr>
          <w:ilvl w:val="0"/>
          <w:numId w:val="0"/>
        </w:numPr>
        <w:kinsoku/>
        <w:wordWrap/>
        <w:overflowPunct/>
        <w:topLinePunct w:val="0"/>
        <w:bidi w:val="0"/>
        <w:snapToGrid/>
        <w:spacing w:line="240" w:lineRule="auto"/>
        <w:ind w:lef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上午9:00-12:00，下午13:30-17:00。</w:t>
      </w:r>
    </w:p>
    <w:p>
      <w:pPr>
        <w:pStyle w:val="2"/>
        <w:keepNext w:val="0"/>
        <w:keepLines w:val="0"/>
        <w:pageBreakBefore w:val="0"/>
        <w:widowControl w:val="0"/>
        <w:numPr>
          <w:ilvl w:val="0"/>
          <w:numId w:val="1"/>
        </w:numPr>
        <w:kinsoku/>
        <w:wordWrap/>
        <w:overflowPunct/>
        <w:topLinePunct w:val="0"/>
        <w:bidi w:val="0"/>
        <w:snapToGrid/>
        <w:spacing w:line="240" w:lineRule="auto"/>
        <w:ind w:left="0" w:firstLine="640" w:firstLineChars="200"/>
        <w:jc w:val="both"/>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其他事项</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贷款申请、贷款利率、贷款期限等其他贷款事项和流程按照现行省直中心《湖南省直单位个人住房公积金贷款管理办法》执行。</w:t>
      </w:r>
    </w:p>
    <w:p>
      <w:pPr>
        <w:pStyle w:val="5"/>
        <w:keepNext w:val="0"/>
        <w:keepLines w:val="0"/>
        <w:pageBreakBefore w:val="0"/>
        <w:widowControl w:val="0"/>
        <w:kinsoku/>
        <w:wordWrap/>
        <w:overflowPunct/>
        <w:topLinePunct w:val="0"/>
        <w:bidi w:val="0"/>
        <w:snapToGrid/>
        <w:spacing w:line="240" w:lineRule="auto"/>
        <w:ind w:lef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本通知自公布之日起执行，有效期2年。</w:t>
      </w:r>
    </w:p>
    <w:p>
      <w:pPr>
        <w:keepNext w:val="0"/>
        <w:keepLines w:val="0"/>
        <w:pageBreakBefore w:val="0"/>
        <w:widowControl w:val="0"/>
        <w:kinsoku/>
        <w:wordWrap w:val="0"/>
        <w:overflowPunct/>
        <w:topLinePunct w:val="0"/>
        <w:bidi w:val="0"/>
        <w:snapToGrid/>
        <w:spacing w:line="240" w:lineRule="auto"/>
        <w:ind w:firstLine="3200" w:firstLineChars="1000"/>
        <w:jc w:val="right"/>
        <w:textAlignment w:val="auto"/>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val="0"/>
        <w:overflowPunct/>
        <w:topLinePunct w:val="0"/>
        <w:bidi w:val="0"/>
        <w:snapToGrid/>
        <w:spacing w:line="240" w:lineRule="auto"/>
        <w:ind w:firstLine="3200" w:firstLineChars="1000"/>
        <w:jc w:val="right"/>
        <w:textAlignment w:val="auto"/>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val="0"/>
        <w:overflowPunct/>
        <w:topLinePunct w:val="0"/>
        <w:bidi w:val="0"/>
        <w:snapToGrid/>
        <w:spacing w:line="240" w:lineRule="auto"/>
        <w:ind w:firstLine="3200" w:firstLineChars="1000"/>
        <w:jc w:val="righ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 xml:space="preserve">湖南省直单位住房公积金管理中心    </w:t>
      </w:r>
    </w:p>
    <w:p>
      <w:pPr>
        <w:keepNext w:val="0"/>
        <w:keepLines w:val="0"/>
        <w:pageBreakBefore w:val="0"/>
        <w:widowControl w:val="0"/>
        <w:kinsoku/>
        <w:wordWrap w:val="0"/>
        <w:overflowPunct/>
        <w:topLinePunct w:val="0"/>
        <w:bidi w:val="0"/>
        <w:snapToGrid/>
        <w:spacing w:line="240" w:lineRule="auto"/>
        <w:ind w:firstLine="3200" w:firstLineChars="1000"/>
        <w:jc w:val="center"/>
        <w:textAlignment w:val="auto"/>
        <w:rPr>
          <w:rFonts w:hint="default" w:ascii="Times New Roman" w:hAnsi="Times New Roman" w:eastAsia="仿宋_GB2312" w:cs="Times New Roman"/>
          <w:b w:val="0"/>
          <w:bCs w:val="0"/>
          <w:kern w:val="2"/>
          <w:sz w:val="32"/>
          <w:szCs w:val="32"/>
          <w:lang w:val="en-US" w:eastAsia="zh-CN" w:bidi="ar-SA"/>
        </w:rPr>
        <w:sectPr>
          <w:footerReference r:id="rId3" w:type="default"/>
          <w:pgSz w:w="11906" w:h="16838"/>
          <w:pgMar w:top="1440" w:right="1474" w:bottom="1440" w:left="1587" w:header="851" w:footer="992" w:gutter="0"/>
          <w:pgNumType w:fmt="decimal"/>
          <w:cols w:space="0" w:num="1"/>
          <w:rtlGutter w:val="0"/>
          <w:docGrid w:type="lines" w:linePitch="312" w:charSpace="0"/>
        </w:sectPr>
      </w:pPr>
      <w:r>
        <w:rPr>
          <w:rFonts w:hint="default" w:ascii="Times New Roman" w:hAnsi="Times New Roman" w:eastAsia="仿宋_GB2312" w:cs="Times New Roman"/>
          <w:b w:val="0"/>
          <w:bCs w:val="0"/>
          <w:kern w:val="2"/>
          <w:sz w:val="32"/>
          <w:szCs w:val="32"/>
          <w:lang w:val="en-US" w:eastAsia="zh-CN" w:bidi="ar-SA"/>
        </w:rPr>
        <w:t xml:space="preserve">    2021年10月18日        </w:t>
      </w: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spacing w:line="560" w:lineRule="exact"/>
        <w:ind w:right="64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公开选项：</w:t>
      </w:r>
      <w:r>
        <w:rPr>
          <w:rFonts w:hint="default" w:ascii="Times New Roman" w:hAnsi="Times New Roman" w:eastAsia="仿宋_GB2312" w:cs="Times New Roman"/>
          <w:sz w:val="28"/>
          <w:szCs w:val="28"/>
        </w:rPr>
        <w:t>主动公开</w:t>
      </w:r>
    </w:p>
    <w:p>
      <w:pPr>
        <w:spacing w:line="560" w:lineRule="exact"/>
        <w:rPr>
          <w:rFonts w:hint="default" w:ascii="Times New Roman" w:hAnsi="Times New Roman" w:cs="Times New Roman"/>
          <w:b/>
          <w:sz w:val="30"/>
          <w:szCs w:val="30"/>
        </w:rPr>
      </w:pPr>
      <w:r>
        <w:rPr>
          <w:rFonts w:hint="default" w:ascii="Times New Roman" w:hAnsi="Times New Roman" w:eastAsia="仿宋_GB2312" w:cs="Times New Roman"/>
          <w:b/>
          <w:sz w:val="28"/>
          <w:szCs w:val="28"/>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38100</wp:posOffset>
                </wp:positionV>
                <wp:extent cx="550227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502275" cy="0"/>
                        </a:xfrm>
                        <a:prstGeom prst="straightConnector1">
                          <a:avLst/>
                        </a:prstGeom>
                        <a:ln w="444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5pt;margin-top:3pt;height:0pt;width:433.25pt;z-index:251660288;mso-width-relative:page;mso-height-relative:page;" filled="f" stroked="t" coordsize="21600,21600" o:gfxdata="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Yu4Eb1QAAAAYBAAAP&#10;AAAAAAAAAAEAIAAAACIAAABkcnMvZG93bnJldi54bWxQSwECFAAUAAAACACHTuJAPwYFoOIBAACe&#10;AwAADgAAAAAAAAABACAAAAAkAQAAZHJzL2Uyb0RvYy54bWxQSwUGAAAAAAYABgBZAQAAeAUAAAAA&#10;">
                <v:fill on="f" focussize="0,0"/>
                <v:stroke weight="0.35pt" color="#000000" joinstyle="round"/>
                <v:imagedata o:title=""/>
                <o:lock v:ext="edit" aspectratio="f"/>
              </v:shape>
            </w:pict>
          </mc:Fallback>
        </mc:AlternateContent>
      </w:r>
      <w:r>
        <w:rPr>
          <w:rFonts w:hint="default" w:ascii="Times New Roman" w:hAnsi="Times New Roman" w:eastAsia="仿宋_GB2312" w:cs="Times New Roman"/>
          <w:b/>
          <w:sz w:val="28"/>
          <w:szCs w:val="28"/>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427355</wp:posOffset>
                </wp:positionV>
                <wp:extent cx="550227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502275" cy="0"/>
                        </a:xfrm>
                        <a:prstGeom prst="straightConnector1">
                          <a:avLst/>
                        </a:prstGeom>
                        <a:ln w="444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5pt;margin-top:33.65pt;height:0pt;width:433.25pt;z-index:251661312;mso-width-relative:page;mso-height-relative:page;" filled="f" stroked="t" coordsize="21600,21600" o:gfxdata="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fqU6fYAAAACAEA&#10;AA8AAAAAAAAAAQAgAAAAIgAAAGRycy9kb3ducmV2LnhtbFBLAQIUABQAAAAIAIdO4kBbEaY74QEA&#10;AJ4DAAAOAAAAAAAAAAEAIAAAACcBAABkcnMvZTJvRG9jLnhtbFBLBQYAAAAABgAGAFkBAAB6BQAA&#10;AAA=&#10;">
                <v:fill on="f" focussize="0,0"/>
                <v:stroke weight="0.35pt" color="#000000" joinstyle="round"/>
                <v:imagedata o:title=""/>
                <o:lock v:ext="edit" aspectratio="f"/>
              </v:shape>
            </w:pict>
          </mc:Fallback>
        </mc:AlternateContent>
      </w:r>
      <w:r>
        <w:rPr>
          <w:rFonts w:hint="default" w:ascii="Times New Roman" w:hAnsi="Times New Roman" w:eastAsia="仿宋_GB2312" w:cs="Times New Roman"/>
          <w:sz w:val="28"/>
          <w:szCs w:val="28"/>
        </w:rPr>
        <w:t>湖南省直单位住房公积金管理中心办公室    202</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18</w:t>
      </w:r>
      <w:r>
        <w:rPr>
          <w:rFonts w:hint="default" w:ascii="Times New Roman" w:hAnsi="Times New Roman" w:eastAsia="仿宋_GB2312" w:cs="Times New Roman"/>
          <w:sz w:val="28"/>
          <w:szCs w:val="28"/>
        </w:rPr>
        <w:t>日印发</w:t>
      </w:r>
    </w:p>
    <w:p>
      <w:pPr>
        <w:pStyle w:val="2"/>
        <w:rPr>
          <w:rFonts w:hint="default" w:ascii="Times New Roman" w:hAnsi="Times New Roman" w:cs="Times New Roman"/>
          <w:lang w:val="en-US" w:eastAsia="zh-CN"/>
        </w:rPr>
      </w:pPr>
    </w:p>
    <w:sectPr>
      <w:pgSz w:w="11906" w:h="16838"/>
      <w:pgMar w:top="1440" w:right="1474" w:bottom="1440"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CD541D"/>
    <w:multiLevelType w:val="singleLevel"/>
    <w:tmpl w:val="F1CD541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913A2A"/>
    <w:rsid w:val="2323258E"/>
    <w:rsid w:val="2A840E14"/>
    <w:rsid w:val="2CF22DA1"/>
    <w:rsid w:val="366E6284"/>
    <w:rsid w:val="388B4667"/>
    <w:rsid w:val="3D005C5A"/>
    <w:rsid w:val="3FF21A80"/>
    <w:rsid w:val="415B2723"/>
    <w:rsid w:val="5058692D"/>
    <w:rsid w:val="5EAD4B1F"/>
    <w:rsid w:val="6B4E20A9"/>
    <w:rsid w:val="6B7F34B0"/>
    <w:rsid w:val="77AE4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rPr>
  </w:style>
  <w:style w:type="paragraph" w:styleId="5">
    <w:name w:val="annotation text"/>
    <w:basedOn w:val="1"/>
    <w:qFormat/>
    <w:uiPriority w:val="0"/>
    <w:pPr>
      <w:jc w:val="left"/>
    </w:pPr>
  </w:style>
  <w:style w:type="paragraph" w:styleId="6">
    <w:name w:val="Body Text"/>
    <w:basedOn w:val="1"/>
    <w:qFormat/>
    <w:uiPriority w:val="0"/>
    <w:rPr>
      <w:rFonts w:ascii="仿宋_GB2312" w:hAnsi="仿宋_GB2312" w:eastAsia="仿宋_GB2312" w:cs="仿宋_GB2312"/>
      <w:sz w:val="32"/>
      <w:szCs w:val="32"/>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2021-10-15T07:40:00Z</dcterms:created>
  <dc:creator>Administrator</dc:creator>
  <cp:lastModifiedBy>徐巍巍</cp:lastModifiedBy>
  <cp:lastPrinted>2021-10-19T01:38:00Z</cp:lastPrinted>
  <dcterms:modified xsi:type="dcterms:W3CDTF">2021-10-21T01:58:00Z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459419723C6D40B6910CF12C46AD5B54</vt:lpwstr>
  </property>
</Properties>
</file>