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6" w:line="300" w:lineRule="exact"/>
        <w:ind w:left="5633"/>
        <w:outlineLvl w:val="0"/>
        <w:rPr>
          <w:rFonts w:ascii="黑体" w:hAnsi="黑体" w:eastAsia="黑体" w:cs="黑体"/>
          <w:sz w:val="32"/>
          <w:szCs w:val="32"/>
          <w:lang w:eastAsia="zh-CN"/>
        </w:rPr>
      </w:pPr>
      <w:r>
        <w:rPr>
          <w:rFonts w:ascii="黑体" w:hAnsi="黑体" w:eastAsia="黑体" w:cs="黑体"/>
          <w:sz w:val="32"/>
          <w:szCs w:val="32"/>
          <w:lang w:eastAsia="zh-CN"/>
        </w:rPr>
        <w:t>交易公告（出租）</w:t>
      </w:r>
    </w:p>
    <w:p>
      <w:pPr>
        <w:spacing w:before="66" w:line="300" w:lineRule="exact"/>
        <w:ind w:left="5633"/>
        <w:outlineLvl w:val="0"/>
        <w:rPr>
          <w:rFonts w:ascii="黑体" w:hAnsi="黑体" w:eastAsia="黑体" w:cs="黑体"/>
          <w:sz w:val="32"/>
          <w:szCs w:val="32"/>
          <w:lang w:eastAsia="zh-CN"/>
        </w:rPr>
      </w:pPr>
    </w:p>
    <w:p>
      <w:pPr>
        <w:pStyle w:val="2"/>
        <w:spacing w:before="75" w:line="300" w:lineRule="exact"/>
        <w:ind w:left="507"/>
        <w:rPr>
          <w:lang w:eastAsia="zh-CN"/>
        </w:rPr>
      </w:pPr>
      <w:r>
        <w:rPr>
          <w:spacing w:val="4"/>
          <w:position w:val="14"/>
          <w:lang w:eastAsia="zh-CN"/>
        </w:rPr>
        <w:t>根据有关法律、法规的规定，决定以网上公开出租</w:t>
      </w:r>
      <w:r>
        <w:rPr>
          <w:rFonts w:hint="eastAsia"/>
          <w:spacing w:val="4"/>
          <w:position w:val="14"/>
          <w:lang w:eastAsia="zh-CN"/>
        </w:rPr>
        <w:t>1</w:t>
      </w:r>
      <w:r>
        <w:rPr>
          <w:spacing w:val="4"/>
          <w:position w:val="14"/>
          <w:lang w:eastAsia="zh-CN"/>
        </w:rPr>
        <w:t>宗</w:t>
      </w:r>
      <w:r>
        <w:rPr>
          <w:spacing w:val="3"/>
          <w:position w:val="14"/>
          <w:lang w:eastAsia="zh-CN"/>
        </w:rPr>
        <w:t>国有资产，现将有关事项公告如下：</w:t>
      </w:r>
    </w:p>
    <w:p>
      <w:pPr>
        <w:pStyle w:val="2"/>
        <w:spacing w:line="300" w:lineRule="exact"/>
        <w:ind w:left="509"/>
        <w:rPr>
          <w:lang w:eastAsia="zh-CN"/>
        </w:rPr>
      </w:pPr>
      <w:r>
        <w:rPr>
          <w:spacing w:val="2"/>
          <w:lang w:eastAsia="zh-CN"/>
        </w:rPr>
        <w:t>一、网上公开出租国有资产的基本情况</w:t>
      </w:r>
    </w:p>
    <w:tbl>
      <w:tblPr>
        <w:tblStyle w:val="5"/>
        <w:tblW w:w="12843" w:type="dxa"/>
        <w:tblInd w:w="0" w:type="dxa"/>
        <w:tblBorders>
          <w:top w:val="single" w:color="515A6E" w:sz="4" w:space="0"/>
          <w:left w:val="single" w:color="515A6E" w:sz="4" w:space="0"/>
          <w:bottom w:val="single" w:color="515A6E" w:sz="4" w:space="0"/>
          <w:right w:val="single" w:color="515A6E" w:sz="4" w:space="0"/>
          <w:insideH w:val="single" w:color="515A6E" w:sz="4" w:space="0"/>
          <w:insideV w:val="single" w:color="515A6E" w:sz="4" w:space="0"/>
        </w:tblBorders>
        <w:tblLayout w:type="fixed"/>
        <w:tblCellMar>
          <w:top w:w="0" w:type="dxa"/>
          <w:left w:w="0" w:type="dxa"/>
          <w:bottom w:w="0" w:type="dxa"/>
          <w:right w:w="0" w:type="dxa"/>
        </w:tblCellMar>
      </w:tblPr>
      <w:tblGrid>
        <w:gridCol w:w="597"/>
        <w:gridCol w:w="2336"/>
        <w:gridCol w:w="5035"/>
        <w:gridCol w:w="1115"/>
        <w:gridCol w:w="1318"/>
        <w:gridCol w:w="1457"/>
        <w:gridCol w:w="985"/>
      </w:tblGrid>
      <w:tr>
        <w:tblPrEx>
          <w:tblBorders>
            <w:top w:val="single" w:color="515A6E" w:sz="4" w:space="0"/>
            <w:left w:val="single" w:color="515A6E" w:sz="4" w:space="0"/>
            <w:bottom w:val="single" w:color="515A6E" w:sz="4" w:space="0"/>
            <w:right w:val="single" w:color="515A6E" w:sz="4" w:space="0"/>
            <w:insideH w:val="single" w:color="515A6E" w:sz="4" w:space="0"/>
            <w:insideV w:val="single" w:color="515A6E" w:sz="4" w:space="0"/>
          </w:tblBorders>
          <w:tblCellMar>
            <w:top w:w="0" w:type="dxa"/>
            <w:left w:w="0" w:type="dxa"/>
            <w:bottom w:w="0" w:type="dxa"/>
            <w:right w:w="0" w:type="dxa"/>
          </w:tblCellMar>
        </w:tblPrEx>
        <w:trPr>
          <w:trHeight w:val="384" w:hRule="atLeast"/>
        </w:trPr>
        <w:tc>
          <w:tcPr>
            <w:tcW w:w="597" w:type="dxa"/>
            <w:vAlign w:val="center"/>
          </w:tcPr>
          <w:p>
            <w:pPr>
              <w:pStyle w:val="6"/>
              <w:spacing w:before="78" w:line="300" w:lineRule="exact"/>
              <w:jc w:val="center"/>
            </w:pPr>
            <w:r>
              <w:rPr>
                <w:rFonts w:hint="eastAsia"/>
                <w:spacing w:val="-5"/>
              </w:rPr>
              <w:t>序号</w:t>
            </w:r>
          </w:p>
        </w:tc>
        <w:tc>
          <w:tcPr>
            <w:tcW w:w="2336" w:type="dxa"/>
            <w:vAlign w:val="center"/>
          </w:tcPr>
          <w:p>
            <w:pPr>
              <w:pStyle w:val="6"/>
              <w:spacing w:before="79" w:line="300" w:lineRule="exact"/>
              <w:jc w:val="center"/>
            </w:pPr>
            <w:r>
              <w:rPr>
                <w:rFonts w:hint="eastAsia"/>
              </w:rPr>
              <w:t>标的名称</w:t>
            </w:r>
          </w:p>
        </w:tc>
        <w:tc>
          <w:tcPr>
            <w:tcW w:w="5035" w:type="dxa"/>
            <w:vAlign w:val="center"/>
          </w:tcPr>
          <w:p>
            <w:pPr>
              <w:pStyle w:val="6"/>
              <w:spacing w:before="78" w:line="300" w:lineRule="exact"/>
              <w:jc w:val="center"/>
            </w:pPr>
            <w:r>
              <w:rPr>
                <w:rFonts w:hint="eastAsia"/>
              </w:rPr>
              <w:t>标的概况</w:t>
            </w:r>
          </w:p>
        </w:tc>
        <w:tc>
          <w:tcPr>
            <w:tcW w:w="1115" w:type="dxa"/>
            <w:vAlign w:val="center"/>
          </w:tcPr>
          <w:p>
            <w:pPr>
              <w:pStyle w:val="6"/>
              <w:spacing w:before="78" w:line="300" w:lineRule="exact"/>
              <w:jc w:val="center"/>
            </w:pPr>
            <w:r>
              <w:rPr>
                <w:rFonts w:hint="eastAsia"/>
                <w:spacing w:val="-7"/>
              </w:rPr>
              <w:t>出租</w:t>
            </w:r>
            <w:r>
              <w:rPr>
                <w:rFonts w:hint="eastAsia"/>
                <w:spacing w:val="-7"/>
                <w:lang w:eastAsia="zh-CN"/>
              </w:rPr>
              <w:t>面积</w:t>
            </w:r>
          </w:p>
        </w:tc>
        <w:tc>
          <w:tcPr>
            <w:tcW w:w="1318" w:type="dxa"/>
            <w:vAlign w:val="center"/>
          </w:tcPr>
          <w:p>
            <w:pPr>
              <w:pStyle w:val="6"/>
              <w:spacing w:before="78" w:line="300" w:lineRule="exact"/>
              <w:jc w:val="center"/>
            </w:pPr>
            <w:r>
              <w:rPr>
                <w:rFonts w:hint="eastAsia"/>
              </w:rPr>
              <w:t>标的所在地</w:t>
            </w:r>
          </w:p>
        </w:tc>
        <w:tc>
          <w:tcPr>
            <w:tcW w:w="1457" w:type="dxa"/>
            <w:vAlign w:val="center"/>
          </w:tcPr>
          <w:p>
            <w:pPr>
              <w:pStyle w:val="6"/>
              <w:spacing w:before="78" w:line="300" w:lineRule="exact"/>
              <w:jc w:val="center"/>
            </w:pPr>
            <w:r>
              <w:rPr>
                <w:rFonts w:hint="eastAsia"/>
                <w:spacing w:val="-2"/>
              </w:rPr>
              <w:t>起始价</w:t>
            </w:r>
          </w:p>
        </w:tc>
        <w:tc>
          <w:tcPr>
            <w:tcW w:w="985" w:type="dxa"/>
            <w:vAlign w:val="center"/>
          </w:tcPr>
          <w:p>
            <w:pPr>
              <w:pStyle w:val="6"/>
              <w:spacing w:before="78" w:line="300" w:lineRule="exact"/>
              <w:jc w:val="center"/>
            </w:pPr>
            <w:r>
              <w:rPr>
                <w:rFonts w:hint="eastAsia"/>
                <w:spacing w:val="-1"/>
              </w:rPr>
              <w:t>增价幅度</w:t>
            </w:r>
          </w:p>
        </w:tc>
      </w:tr>
      <w:tr>
        <w:tblPrEx>
          <w:tblBorders>
            <w:top w:val="single" w:color="515A6E" w:sz="4" w:space="0"/>
            <w:left w:val="single" w:color="515A6E" w:sz="4" w:space="0"/>
            <w:bottom w:val="single" w:color="515A6E" w:sz="4" w:space="0"/>
            <w:right w:val="single" w:color="515A6E" w:sz="4" w:space="0"/>
            <w:insideH w:val="single" w:color="515A6E" w:sz="4" w:space="0"/>
            <w:insideV w:val="single" w:color="515A6E" w:sz="4" w:space="0"/>
          </w:tblBorders>
          <w:tblCellMar>
            <w:top w:w="0" w:type="dxa"/>
            <w:left w:w="0" w:type="dxa"/>
            <w:bottom w:w="0" w:type="dxa"/>
            <w:right w:w="0" w:type="dxa"/>
          </w:tblCellMar>
        </w:tblPrEx>
        <w:trPr>
          <w:trHeight w:val="1152" w:hRule="atLeast"/>
        </w:trPr>
        <w:tc>
          <w:tcPr>
            <w:tcW w:w="597" w:type="dxa"/>
            <w:vAlign w:val="center"/>
          </w:tcPr>
          <w:p>
            <w:pPr>
              <w:pStyle w:val="6"/>
              <w:spacing w:before="75" w:line="300" w:lineRule="exact"/>
              <w:jc w:val="center"/>
              <w:rPr>
                <w:sz w:val="21"/>
                <w:szCs w:val="21"/>
                <w:lang w:eastAsia="zh-CN"/>
              </w:rPr>
            </w:pPr>
            <w:r>
              <w:rPr>
                <w:rFonts w:hint="eastAsia"/>
                <w:sz w:val="21"/>
                <w:szCs w:val="21"/>
                <w:lang w:eastAsia="zh-CN"/>
              </w:rPr>
              <w:t>1</w:t>
            </w:r>
          </w:p>
        </w:tc>
        <w:tc>
          <w:tcPr>
            <w:tcW w:w="2336" w:type="dxa"/>
            <w:vAlign w:val="center"/>
          </w:tcPr>
          <w:p>
            <w:pPr>
              <w:spacing w:line="300" w:lineRule="exact"/>
              <w:jc w:val="center"/>
              <w:rPr>
                <w:rFonts w:hint="eastAsia" w:ascii="仿宋" w:hAnsi="仿宋" w:eastAsia="仿宋" w:cs="仿宋"/>
              </w:rPr>
            </w:pPr>
            <w:r>
              <w:rPr>
                <w:rFonts w:hint="eastAsia" w:ascii="仿宋" w:hAnsi="仿宋" w:eastAsia="仿宋" w:cs="仿宋"/>
              </w:rPr>
              <w:t>长沙市雨花区金贸大厦</w:t>
            </w:r>
          </w:p>
          <w:p>
            <w:pPr>
              <w:spacing w:line="300" w:lineRule="exact"/>
              <w:jc w:val="center"/>
              <w:rPr>
                <w:rFonts w:hint="eastAsia" w:ascii="仿宋" w:hAnsi="仿宋" w:eastAsia="仿宋" w:cs="仿宋"/>
              </w:rPr>
            </w:pPr>
            <w:r>
              <w:rPr>
                <w:rFonts w:hint="eastAsia" w:ascii="仿宋" w:hAnsi="仿宋" w:eastAsia="仿宋" w:cs="仿宋"/>
              </w:rPr>
              <w:t>第</w:t>
            </w:r>
            <w:r>
              <w:rPr>
                <w:rFonts w:ascii="仿宋" w:hAnsi="仿宋" w:eastAsia="仿宋" w:cs="仿宋"/>
              </w:rPr>
              <w:t>1</w:t>
            </w:r>
            <w:r>
              <w:rPr>
                <w:rFonts w:hint="eastAsia" w:ascii="仿宋" w:hAnsi="仿宋" w:eastAsia="仿宋" w:cs="仿宋"/>
              </w:rPr>
              <w:t>层</w:t>
            </w:r>
            <w:r>
              <w:rPr>
                <w:rFonts w:ascii="仿宋" w:hAnsi="仿宋" w:eastAsia="仿宋" w:cs="仿宋"/>
              </w:rPr>
              <w:t>1</w:t>
            </w:r>
            <w:r>
              <w:rPr>
                <w:rFonts w:hint="eastAsia" w:ascii="仿宋" w:hAnsi="仿宋" w:eastAsia="仿宋" w:cs="仿宋"/>
              </w:rPr>
              <w:t>号、</w:t>
            </w:r>
            <w:r>
              <w:rPr>
                <w:rFonts w:ascii="仿宋" w:hAnsi="仿宋" w:eastAsia="仿宋" w:cs="仿宋"/>
              </w:rPr>
              <w:t>2</w:t>
            </w:r>
            <w:r>
              <w:rPr>
                <w:rFonts w:hint="eastAsia" w:ascii="仿宋" w:hAnsi="仿宋" w:eastAsia="仿宋" w:cs="仿宋"/>
              </w:rPr>
              <w:t>号、</w:t>
            </w:r>
            <w:r>
              <w:rPr>
                <w:rFonts w:ascii="仿宋" w:hAnsi="仿宋" w:eastAsia="仿宋" w:cs="仿宋"/>
              </w:rPr>
              <w:t>5</w:t>
            </w:r>
            <w:r>
              <w:rPr>
                <w:rFonts w:hint="eastAsia" w:ascii="仿宋" w:hAnsi="仿宋" w:eastAsia="仿宋" w:cs="仿宋"/>
              </w:rPr>
              <w:t>号门面及第</w:t>
            </w:r>
            <w:r>
              <w:rPr>
                <w:rFonts w:ascii="仿宋" w:hAnsi="仿宋" w:eastAsia="仿宋" w:cs="仿宋"/>
              </w:rPr>
              <w:t>5</w:t>
            </w:r>
            <w:r>
              <w:rPr>
                <w:rFonts w:hint="eastAsia" w:ascii="仿宋" w:hAnsi="仿宋" w:eastAsia="仿宋" w:cs="仿宋"/>
              </w:rPr>
              <w:t>层、第</w:t>
            </w:r>
            <w:r>
              <w:rPr>
                <w:rFonts w:ascii="仿宋" w:hAnsi="仿宋" w:eastAsia="仿宋" w:cs="仿宋"/>
              </w:rPr>
              <w:t>6</w:t>
            </w:r>
            <w:r>
              <w:rPr>
                <w:rFonts w:hint="eastAsia" w:ascii="仿宋" w:hAnsi="仿宋" w:eastAsia="仿宋" w:cs="仿宋"/>
              </w:rPr>
              <w:t>层</w:t>
            </w:r>
            <w:r>
              <w:rPr>
                <w:rFonts w:ascii="仿宋" w:hAnsi="仿宋" w:eastAsia="仿宋" w:cs="仿宋"/>
              </w:rPr>
              <w:t>25</w:t>
            </w:r>
            <w:r>
              <w:rPr>
                <w:rFonts w:hint="eastAsia" w:ascii="仿宋" w:hAnsi="仿宋" w:eastAsia="仿宋" w:cs="仿宋"/>
              </w:rPr>
              <w:t>间</w:t>
            </w:r>
          </w:p>
          <w:p>
            <w:pPr>
              <w:spacing w:line="300" w:lineRule="exact"/>
              <w:jc w:val="center"/>
              <w:rPr>
                <w:rFonts w:ascii="仿宋" w:hAnsi="仿宋" w:eastAsia="仿宋" w:cs="仿宋"/>
              </w:rPr>
            </w:pPr>
            <w:r>
              <w:rPr>
                <w:rFonts w:hint="eastAsia" w:ascii="仿宋" w:hAnsi="仿宋" w:eastAsia="仿宋" w:cs="仿宋"/>
              </w:rPr>
              <w:t>办公用房租赁权</w:t>
            </w:r>
          </w:p>
        </w:tc>
        <w:tc>
          <w:tcPr>
            <w:tcW w:w="5035" w:type="dxa"/>
            <w:vAlign w:val="center"/>
          </w:tcPr>
          <w:p>
            <w:pPr>
              <w:pStyle w:val="6"/>
              <w:spacing w:line="300" w:lineRule="exact"/>
              <w:jc w:val="center"/>
              <w:rPr>
                <w:color w:val="FF0000"/>
                <w:sz w:val="21"/>
                <w:szCs w:val="21"/>
                <w:lang w:eastAsia="zh-CN"/>
              </w:rPr>
            </w:pPr>
            <w:r>
              <w:rPr>
                <w:rFonts w:hint="eastAsia"/>
                <w:color w:val="auto"/>
                <w:sz w:val="21"/>
                <w:szCs w:val="21"/>
                <w:lang w:eastAsia="zh-CN"/>
              </w:rPr>
              <w:t>房屋户型：多户型；是否设置原承租人优先购买权：否；租赁期限：自租赁合同签订之日起至202</w:t>
            </w:r>
            <w:r>
              <w:rPr>
                <w:rFonts w:hint="eastAsia"/>
                <w:color w:val="auto"/>
                <w:sz w:val="21"/>
                <w:szCs w:val="21"/>
                <w:lang w:val="en-US" w:eastAsia="zh-CN"/>
              </w:rPr>
              <w:t>7</w:t>
            </w:r>
            <w:r>
              <w:rPr>
                <w:rFonts w:hint="eastAsia"/>
                <w:color w:val="auto"/>
                <w:sz w:val="21"/>
                <w:szCs w:val="21"/>
                <w:lang w:eastAsia="zh-CN"/>
              </w:rPr>
              <w:t>年6月30日为止（租赁期间国家或地方政策发生变化，在政策允许的租赁期限内，承租人不改变房屋用途、无其他违约情况的前提下，经租赁双方协商，在合同其他条件不变的条件下，可将租赁年限延期2年；装修免租期</w:t>
            </w:r>
            <w:r>
              <w:rPr>
                <w:color w:val="auto"/>
                <w:sz w:val="21"/>
                <w:szCs w:val="21"/>
                <w:lang w:eastAsia="zh-CN"/>
              </w:rPr>
              <w:t>4</w:t>
            </w:r>
            <w:r>
              <w:rPr>
                <w:rFonts w:hint="eastAsia"/>
                <w:color w:val="auto"/>
                <w:sz w:val="21"/>
                <w:szCs w:val="21"/>
                <w:lang w:eastAsia="zh-CN"/>
              </w:rPr>
              <w:t>个月；租赁履约保证金为第一年租金金额的25%；首年租金按成交价收取，合同期内租金不递增。</w:t>
            </w:r>
          </w:p>
        </w:tc>
        <w:tc>
          <w:tcPr>
            <w:tcW w:w="1115" w:type="dxa"/>
            <w:vAlign w:val="center"/>
          </w:tcPr>
          <w:p>
            <w:pPr>
              <w:pStyle w:val="6"/>
              <w:spacing w:before="75" w:line="300" w:lineRule="exact"/>
              <w:ind w:right="78"/>
              <w:jc w:val="center"/>
              <w:rPr>
                <w:sz w:val="21"/>
                <w:szCs w:val="21"/>
                <w:lang w:eastAsia="zh-CN"/>
              </w:rPr>
            </w:pPr>
            <w:r>
              <w:rPr>
                <w:rFonts w:hint="eastAsia"/>
                <w:spacing w:val="1"/>
                <w:sz w:val="21"/>
                <w:szCs w:val="21"/>
                <w:lang w:eastAsia="zh-CN"/>
              </w:rPr>
              <w:t>1176.34㎡</w:t>
            </w:r>
          </w:p>
        </w:tc>
        <w:tc>
          <w:tcPr>
            <w:tcW w:w="1318" w:type="dxa"/>
            <w:vAlign w:val="center"/>
          </w:tcPr>
          <w:p>
            <w:pPr>
              <w:pStyle w:val="6"/>
              <w:spacing w:before="75" w:line="300" w:lineRule="exact"/>
              <w:jc w:val="center"/>
              <w:rPr>
                <w:rFonts w:hint="default"/>
                <w:sz w:val="21"/>
                <w:szCs w:val="21"/>
                <w:lang w:val="en-US" w:eastAsia="zh-CN"/>
              </w:rPr>
            </w:pPr>
            <w:r>
              <w:rPr>
                <w:rFonts w:hint="eastAsia"/>
                <w:sz w:val="21"/>
                <w:szCs w:val="21"/>
                <w:lang w:eastAsia="zh-CN"/>
              </w:rPr>
              <w:t>长沙市雨花区车站南路</w:t>
            </w:r>
            <w:r>
              <w:rPr>
                <w:rFonts w:hint="eastAsia"/>
                <w:sz w:val="21"/>
                <w:szCs w:val="21"/>
                <w:lang w:val="en-US" w:eastAsia="zh-CN"/>
              </w:rPr>
              <w:t>105</w:t>
            </w:r>
            <w:r>
              <w:rPr>
                <w:rFonts w:hint="eastAsia"/>
                <w:sz w:val="21"/>
                <w:szCs w:val="21"/>
                <w:lang w:eastAsia="zh-CN"/>
              </w:rPr>
              <w:t>号金贸大厦（实勘为车站南路</w:t>
            </w:r>
            <w:r>
              <w:rPr>
                <w:rFonts w:hint="eastAsia"/>
                <w:sz w:val="21"/>
                <w:szCs w:val="21"/>
                <w:lang w:val="en-US" w:eastAsia="zh-CN"/>
              </w:rPr>
              <w:t>699号）</w:t>
            </w:r>
          </w:p>
        </w:tc>
        <w:tc>
          <w:tcPr>
            <w:tcW w:w="1457" w:type="dxa"/>
            <w:vAlign w:val="center"/>
          </w:tcPr>
          <w:p>
            <w:pPr>
              <w:pStyle w:val="6"/>
              <w:spacing w:before="75" w:line="300" w:lineRule="exact"/>
              <w:jc w:val="center"/>
              <w:rPr>
                <w:sz w:val="21"/>
                <w:szCs w:val="21"/>
              </w:rPr>
            </w:pPr>
            <w:r>
              <w:rPr>
                <w:color w:val="FF0000"/>
                <w:sz w:val="21"/>
                <w:szCs w:val="21"/>
                <w:lang w:eastAsia="zh-CN"/>
              </w:rPr>
              <w:t>640197</w:t>
            </w:r>
            <w:r>
              <w:rPr>
                <w:rFonts w:hint="eastAsia"/>
                <w:color w:val="FF0000"/>
                <w:sz w:val="21"/>
                <w:szCs w:val="21"/>
              </w:rPr>
              <w:t>元/</w:t>
            </w:r>
            <w:r>
              <w:rPr>
                <w:rFonts w:hint="eastAsia"/>
                <w:color w:val="FF0000"/>
                <w:sz w:val="21"/>
                <w:szCs w:val="21"/>
                <w:lang w:eastAsia="zh-CN"/>
              </w:rPr>
              <w:t>第一</w:t>
            </w:r>
            <w:r>
              <w:rPr>
                <w:rFonts w:hint="eastAsia"/>
                <w:color w:val="FF0000"/>
                <w:sz w:val="21"/>
                <w:szCs w:val="21"/>
              </w:rPr>
              <w:t>年</w:t>
            </w:r>
          </w:p>
        </w:tc>
        <w:tc>
          <w:tcPr>
            <w:tcW w:w="985" w:type="dxa"/>
            <w:vAlign w:val="center"/>
          </w:tcPr>
          <w:p>
            <w:pPr>
              <w:pStyle w:val="6"/>
              <w:spacing w:before="75" w:line="300" w:lineRule="exact"/>
              <w:jc w:val="center"/>
              <w:rPr>
                <w:sz w:val="21"/>
                <w:szCs w:val="21"/>
              </w:rPr>
            </w:pPr>
            <w:r>
              <w:rPr>
                <w:rFonts w:hint="eastAsia"/>
                <w:spacing w:val="-3"/>
                <w:sz w:val="21"/>
                <w:szCs w:val="21"/>
                <w:lang w:val="en-US" w:eastAsia="zh-CN"/>
              </w:rPr>
              <w:t>5</w:t>
            </w:r>
            <w:r>
              <w:rPr>
                <w:rFonts w:hint="eastAsia"/>
                <w:spacing w:val="-3"/>
                <w:sz w:val="21"/>
                <w:szCs w:val="21"/>
                <w:lang w:eastAsia="zh-CN"/>
              </w:rPr>
              <w:t>000</w:t>
            </w:r>
            <w:r>
              <w:rPr>
                <w:rFonts w:hint="eastAsia"/>
                <w:spacing w:val="-3"/>
                <w:sz w:val="21"/>
                <w:szCs w:val="21"/>
              </w:rPr>
              <w:t>元/年</w:t>
            </w:r>
          </w:p>
        </w:tc>
      </w:tr>
    </w:tbl>
    <w:p>
      <w:pPr>
        <w:pStyle w:val="2"/>
        <w:spacing w:before="99" w:line="300" w:lineRule="exact"/>
        <w:ind w:left="513"/>
        <w:rPr>
          <w:color w:val="FF0000"/>
          <w:lang w:eastAsia="zh-CN"/>
        </w:rPr>
      </w:pPr>
      <w:r>
        <w:rPr>
          <w:spacing w:val="-1"/>
          <w:lang w:eastAsia="zh-CN"/>
        </w:rPr>
        <w:t>二、竞价方式的选择：</w:t>
      </w:r>
      <w:r>
        <w:rPr>
          <w:spacing w:val="-68"/>
          <w:lang w:eastAsia="zh-CN"/>
        </w:rPr>
        <w:t xml:space="preserve"> </w:t>
      </w:r>
      <w:r>
        <w:rPr>
          <w:color w:val="FF0000"/>
          <w:spacing w:val="-1"/>
          <w:lang w:eastAsia="zh-CN"/>
        </w:rPr>
        <w:t>网络</w:t>
      </w:r>
      <w:r>
        <w:rPr>
          <w:rFonts w:hint="eastAsia"/>
          <w:color w:val="FF0000"/>
          <w:spacing w:val="-1"/>
          <w:lang w:eastAsia="zh-CN"/>
        </w:rPr>
        <w:t>拍卖</w:t>
      </w:r>
    </w:p>
    <w:p>
      <w:pPr>
        <w:pStyle w:val="2"/>
        <w:spacing w:before="145" w:line="300" w:lineRule="exact"/>
        <w:ind w:left="512"/>
        <w:rPr>
          <w:lang w:eastAsia="zh-CN"/>
        </w:rPr>
      </w:pPr>
      <w:r>
        <w:rPr>
          <w:spacing w:val="4"/>
          <w:lang w:eastAsia="zh-CN"/>
        </w:rPr>
        <w:t>三、本次国有资产公开出租在互联网上交易，即通过湖南省国有资产</w:t>
      </w:r>
      <w:r>
        <w:rPr>
          <w:spacing w:val="3"/>
          <w:lang w:eastAsia="zh-CN"/>
        </w:rPr>
        <w:t>资源交易平台的国有资产交易系统</w:t>
      </w:r>
    </w:p>
    <w:p>
      <w:pPr>
        <w:pStyle w:val="2"/>
        <w:spacing w:before="129" w:line="300" w:lineRule="exact"/>
        <w:ind w:left="17"/>
        <w:rPr>
          <w:lang w:eastAsia="zh-CN"/>
        </w:rPr>
      </w:pPr>
      <w:r>
        <w:rPr>
          <w:spacing w:val="5"/>
        </w:rPr>
        <w:t>（</w:t>
      </w:r>
      <w:r>
        <w:fldChar w:fldCharType="begin"/>
      </w:r>
      <w:r>
        <w:instrText xml:space="preserve"> HYPERLINK "https://www.hnsdzjy.org:18484/portal/index" </w:instrText>
      </w:r>
      <w:r>
        <w:fldChar w:fldCharType="separate"/>
      </w:r>
      <w:r>
        <w:rPr>
          <w:color w:val="0000EE"/>
          <w:u w:val="single"/>
        </w:rPr>
        <w:t>www</w:t>
      </w:r>
      <w:r>
        <w:rPr>
          <w:color w:val="0000EE"/>
          <w:spacing w:val="5"/>
          <w:u w:val="single"/>
        </w:rPr>
        <w:t>.</w:t>
      </w:r>
      <w:r>
        <w:rPr>
          <w:color w:val="0000EE"/>
          <w:u w:val="single"/>
        </w:rPr>
        <w:t>hnsdzjy</w:t>
      </w:r>
      <w:r>
        <w:rPr>
          <w:color w:val="0000EE"/>
          <w:spacing w:val="5"/>
          <w:u w:val="single"/>
        </w:rPr>
        <w:t>.</w:t>
      </w:r>
      <w:r>
        <w:rPr>
          <w:color w:val="0000EE"/>
          <w:u w:val="single"/>
        </w:rPr>
        <w:t>org</w:t>
      </w:r>
      <w:r>
        <w:rPr>
          <w:color w:val="0000EE"/>
          <w:spacing w:val="5"/>
          <w:u w:val="single"/>
        </w:rPr>
        <w:t>:18484/</w:t>
      </w:r>
      <w:r>
        <w:rPr>
          <w:color w:val="0000EE"/>
          <w:u w:val="single"/>
        </w:rPr>
        <w:t>portal</w:t>
      </w:r>
      <w:r>
        <w:rPr>
          <w:color w:val="0000EE"/>
          <w:spacing w:val="5"/>
          <w:u w:val="single"/>
        </w:rPr>
        <w:t>/</w:t>
      </w:r>
      <w:r>
        <w:rPr>
          <w:color w:val="0000EE"/>
          <w:u w:val="single"/>
        </w:rPr>
        <w:t>index</w:t>
      </w:r>
      <w:r>
        <w:rPr>
          <w:color w:val="0000EE"/>
          <w:u w:val="single"/>
        </w:rPr>
        <w:fldChar w:fldCharType="end"/>
      </w:r>
      <w:r>
        <w:rPr>
          <w:spacing w:val="5"/>
        </w:rPr>
        <w:t>，以下简称交易系统）</w:t>
      </w:r>
      <w:r>
        <w:rPr>
          <w:spacing w:val="4"/>
        </w:rPr>
        <w:t>进行。</w:t>
      </w:r>
      <w:r>
        <w:rPr>
          <w:spacing w:val="4"/>
          <w:lang w:eastAsia="zh-CN"/>
        </w:rPr>
        <w:t>凡办理好数字证书及电子签章、符合本公告要求足额交纳竞价保</w:t>
      </w:r>
      <w:r>
        <w:rPr>
          <w:spacing w:val="3"/>
          <w:lang w:eastAsia="zh-CN"/>
        </w:rPr>
        <w:t>证金的竞价人，方可参加本次网上公开出租交易活动。</w:t>
      </w:r>
    </w:p>
    <w:p>
      <w:pPr>
        <w:pStyle w:val="2"/>
        <w:spacing w:before="144" w:line="300" w:lineRule="exact"/>
        <w:ind w:left="42" w:right="13" w:firstLine="491"/>
        <w:rPr>
          <w:lang w:eastAsia="zh-CN"/>
        </w:rPr>
      </w:pPr>
      <w:r>
        <w:rPr>
          <w:spacing w:val="4"/>
          <w:lang w:eastAsia="zh-CN"/>
        </w:rPr>
        <w:t>四、本次网上公开出租具体要求及竞得人确</w:t>
      </w:r>
      <w:r>
        <w:rPr>
          <w:spacing w:val="3"/>
          <w:lang w:eastAsia="zh-CN"/>
        </w:rPr>
        <w:t>定方式详见各标的公开出租文件。有意竞价者可登录湖南省国有资产资源交易平台的国有资产交易系统查询。竞价人可于2024年0</w:t>
      </w:r>
      <w:r>
        <w:rPr>
          <w:rFonts w:hint="eastAsia"/>
          <w:color w:val="FF0000"/>
          <w:spacing w:val="3"/>
          <w:lang w:eastAsia="zh-CN"/>
        </w:rPr>
        <w:t>4</w:t>
      </w:r>
      <w:r>
        <w:rPr>
          <w:color w:val="FF0000"/>
          <w:spacing w:val="3"/>
          <w:lang w:eastAsia="zh-CN"/>
        </w:rPr>
        <w:t>月</w:t>
      </w:r>
      <w:r>
        <w:rPr>
          <w:rFonts w:hint="eastAsia"/>
          <w:color w:val="FF0000"/>
          <w:spacing w:val="3"/>
          <w:lang w:val="en-US" w:eastAsia="zh-CN"/>
        </w:rPr>
        <w:t>30</w:t>
      </w:r>
      <w:r>
        <w:rPr>
          <w:color w:val="FF0000"/>
          <w:spacing w:val="3"/>
          <w:lang w:eastAsia="zh-CN"/>
        </w:rPr>
        <w:t>日</w:t>
      </w:r>
      <w:r>
        <w:rPr>
          <w:color w:val="auto"/>
          <w:spacing w:val="3"/>
          <w:lang w:eastAsia="zh-CN"/>
        </w:rPr>
        <w:t>09时00分00秒至</w:t>
      </w:r>
      <w:r>
        <w:rPr>
          <w:color w:val="FF0000"/>
          <w:spacing w:val="3"/>
          <w:lang w:eastAsia="zh-CN"/>
        </w:rPr>
        <w:t>2024年05月</w:t>
      </w:r>
      <w:r>
        <w:rPr>
          <w:rFonts w:hint="eastAsia"/>
          <w:color w:val="FF0000"/>
          <w:spacing w:val="3"/>
          <w:lang w:val="en-US" w:eastAsia="zh-CN"/>
        </w:rPr>
        <w:t>16</w:t>
      </w:r>
      <w:r>
        <w:rPr>
          <w:color w:val="FF0000"/>
          <w:spacing w:val="3"/>
          <w:lang w:eastAsia="zh-CN"/>
        </w:rPr>
        <w:t>日</w:t>
      </w:r>
      <w:r>
        <w:rPr>
          <w:color w:val="auto"/>
          <w:spacing w:val="3"/>
          <w:lang w:eastAsia="zh-CN"/>
        </w:rPr>
        <w:t>17时</w:t>
      </w:r>
      <w:r>
        <w:rPr>
          <w:spacing w:val="3"/>
          <w:lang w:eastAsia="zh-CN"/>
        </w:rPr>
        <w:t>00分00秒，</w:t>
      </w:r>
      <w:r>
        <w:rPr>
          <w:spacing w:val="2"/>
          <w:lang w:eastAsia="zh-CN"/>
        </w:rPr>
        <w:t>在网上浏览或下载本次网上公开出</w:t>
      </w:r>
      <w:r>
        <w:rPr>
          <w:spacing w:val="3"/>
          <w:lang w:eastAsia="zh-CN"/>
        </w:rPr>
        <w:t>租标的相关文件，并按相关文件规定的操作程序参加竞价。</w:t>
      </w:r>
    </w:p>
    <w:p>
      <w:pPr>
        <w:pStyle w:val="2"/>
        <w:spacing w:before="144" w:line="300" w:lineRule="exact"/>
        <w:ind w:left="42" w:right="13" w:firstLine="491"/>
        <w:rPr>
          <w:spacing w:val="4"/>
          <w:lang w:eastAsia="zh-CN"/>
        </w:rPr>
      </w:pPr>
      <w:r>
        <w:rPr>
          <w:spacing w:val="4"/>
          <w:lang w:eastAsia="zh-CN"/>
        </w:rPr>
        <w:t>五、本次网上公开出租活动网上报名时间为2024年</w:t>
      </w:r>
      <w:r>
        <w:rPr>
          <w:color w:val="FF0000"/>
          <w:spacing w:val="4"/>
          <w:lang w:eastAsia="zh-CN"/>
        </w:rPr>
        <w:t>0</w:t>
      </w:r>
      <w:r>
        <w:rPr>
          <w:rFonts w:hint="eastAsia"/>
          <w:color w:val="FF0000"/>
          <w:spacing w:val="4"/>
          <w:lang w:eastAsia="zh-CN"/>
        </w:rPr>
        <w:t>4</w:t>
      </w:r>
      <w:r>
        <w:rPr>
          <w:color w:val="FF0000"/>
          <w:spacing w:val="4"/>
          <w:lang w:eastAsia="zh-CN"/>
        </w:rPr>
        <w:t>月</w:t>
      </w:r>
      <w:r>
        <w:rPr>
          <w:rFonts w:hint="eastAsia"/>
          <w:color w:val="FF0000"/>
          <w:spacing w:val="3"/>
          <w:lang w:val="en-US" w:eastAsia="zh-CN"/>
        </w:rPr>
        <w:t>30</w:t>
      </w:r>
      <w:r>
        <w:rPr>
          <w:color w:val="FF0000"/>
          <w:spacing w:val="4"/>
          <w:lang w:eastAsia="zh-CN"/>
        </w:rPr>
        <w:t>日</w:t>
      </w:r>
      <w:r>
        <w:rPr>
          <w:spacing w:val="4"/>
          <w:lang w:eastAsia="zh-CN"/>
        </w:rPr>
        <w:t>09时00分00秒起（以网上交易系统服务器时间为准，下同）至2024年</w:t>
      </w:r>
      <w:r>
        <w:rPr>
          <w:color w:val="FF0000"/>
          <w:spacing w:val="4"/>
          <w:lang w:eastAsia="zh-CN"/>
        </w:rPr>
        <w:t>05月</w:t>
      </w:r>
      <w:r>
        <w:rPr>
          <w:rFonts w:hint="eastAsia"/>
          <w:color w:val="FF0000"/>
          <w:spacing w:val="4"/>
          <w:lang w:val="en-US" w:eastAsia="zh-CN"/>
        </w:rPr>
        <w:t>16</w:t>
      </w:r>
      <w:r>
        <w:rPr>
          <w:rFonts w:hint="eastAsia"/>
          <w:color w:val="FF0000"/>
          <w:spacing w:val="3"/>
          <w:lang w:eastAsia="zh-CN"/>
        </w:rPr>
        <w:t>日</w:t>
      </w:r>
      <w:r>
        <w:rPr>
          <w:spacing w:val="4"/>
          <w:lang w:eastAsia="zh-CN"/>
        </w:rPr>
        <w:t>17时00分00秒止。</w:t>
      </w:r>
    </w:p>
    <w:p>
      <w:pPr>
        <w:pStyle w:val="2"/>
        <w:spacing w:before="144" w:line="300" w:lineRule="exact"/>
        <w:ind w:left="42" w:right="13" w:firstLine="491"/>
        <w:rPr>
          <w:spacing w:val="4"/>
          <w:lang w:eastAsia="zh-CN"/>
        </w:rPr>
      </w:pPr>
      <w:r>
        <w:rPr>
          <w:spacing w:val="4"/>
          <w:lang w:eastAsia="zh-CN"/>
        </w:rPr>
        <w:t>六、竞价人应及时登录湖南省国有资产资源交易平台的国有资产交易系统，在系统上向出租人提交竞价申请，并交纳竞价保证金（保证金交纳账号由交易系统随机生成）。竞价保证金交纳截止时间为2024年</w:t>
      </w:r>
      <w:r>
        <w:rPr>
          <w:color w:val="FF0000"/>
          <w:spacing w:val="4"/>
          <w:lang w:eastAsia="zh-CN"/>
        </w:rPr>
        <w:t>05月</w:t>
      </w:r>
      <w:r>
        <w:rPr>
          <w:rFonts w:hint="eastAsia"/>
          <w:color w:val="FF0000"/>
          <w:spacing w:val="3"/>
          <w:lang w:val="en-US" w:eastAsia="zh-CN"/>
        </w:rPr>
        <w:t>16</w:t>
      </w:r>
      <w:r>
        <w:rPr>
          <w:color w:val="FF0000"/>
          <w:spacing w:val="4"/>
          <w:lang w:eastAsia="zh-CN"/>
        </w:rPr>
        <w:t>日</w:t>
      </w:r>
      <w:r>
        <w:rPr>
          <w:spacing w:val="4"/>
          <w:lang w:eastAsia="zh-CN"/>
        </w:rPr>
        <w:t>17时00分00秒。</w:t>
      </w:r>
    </w:p>
    <w:p>
      <w:pPr>
        <w:pStyle w:val="2"/>
        <w:spacing w:before="144" w:line="300" w:lineRule="exact"/>
        <w:ind w:left="510"/>
        <w:rPr>
          <w:spacing w:val="2"/>
          <w:lang w:eastAsia="zh-CN"/>
        </w:rPr>
      </w:pPr>
      <w:r>
        <w:rPr>
          <w:spacing w:val="3"/>
          <w:lang w:eastAsia="zh-CN"/>
        </w:rPr>
        <w:t>七、本次网上公开出租活动拍卖开始时间为2024年</w:t>
      </w:r>
      <w:r>
        <w:rPr>
          <w:color w:val="FF0000"/>
          <w:spacing w:val="3"/>
          <w:lang w:eastAsia="zh-CN"/>
        </w:rPr>
        <w:t>05月</w:t>
      </w:r>
      <w:r>
        <w:rPr>
          <w:rFonts w:hint="eastAsia"/>
          <w:color w:val="FF0000"/>
          <w:spacing w:val="3"/>
          <w:lang w:val="en-US" w:eastAsia="zh-CN"/>
        </w:rPr>
        <w:t>17</w:t>
      </w:r>
      <w:r>
        <w:rPr>
          <w:color w:val="FF0000"/>
          <w:spacing w:val="3"/>
          <w:lang w:eastAsia="zh-CN"/>
        </w:rPr>
        <w:t>日10</w:t>
      </w:r>
      <w:r>
        <w:rPr>
          <w:color w:val="FF0000"/>
          <w:spacing w:val="2"/>
          <w:lang w:eastAsia="zh-CN"/>
        </w:rPr>
        <w:t>时</w:t>
      </w:r>
      <w:r>
        <w:rPr>
          <w:spacing w:val="2"/>
          <w:lang w:eastAsia="zh-CN"/>
        </w:rPr>
        <w:t>00分00秒。</w:t>
      </w:r>
    </w:p>
    <w:p>
      <w:pPr>
        <w:pStyle w:val="2"/>
        <w:spacing w:before="144" w:line="300" w:lineRule="exact"/>
        <w:ind w:left="42" w:right="13" w:firstLine="491"/>
        <w:rPr>
          <w:lang w:eastAsia="zh-CN"/>
        </w:rPr>
      </w:pPr>
      <w:r>
        <w:rPr>
          <w:rFonts w:hint="eastAsia"/>
          <w:spacing w:val="4"/>
          <w:lang w:eastAsia="zh-CN"/>
        </w:rPr>
        <w:t>八、</w:t>
      </w:r>
      <w:r>
        <w:rPr>
          <w:spacing w:val="4"/>
          <w:lang w:eastAsia="zh-CN"/>
        </w:rPr>
        <w:t>如果在参加本次网上公开出租活动的过程中遇到疑难问题，请及时联系各相</w:t>
      </w:r>
      <w:r>
        <w:rPr>
          <w:spacing w:val="3"/>
          <w:lang w:eastAsia="zh-CN"/>
        </w:rPr>
        <w:t>关单位，联系电话如下：</w:t>
      </w:r>
    </w:p>
    <w:p>
      <w:pPr>
        <w:pStyle w:val="2"/>
        <w:spacing w:before="147" w:line="300" w:lineRule="exact"/>
        <w:ind w:left="532"/>
        <w:rPr>
          <w:lang w:eastAsia="zh-CN"/>
        </w:rPr>
      </w:pPr>
      <w:r>
        <w:rPr>
          <w:spacing w:val="2"/>
          <w:lang w:eastAsia="zh-CN"/>
        </w:rPr>
        <w:t>网上挂牌转让业务咨询电话：湖南赛德拍卖有限公司</w:t>
      </w:r>
      <w:r>
        <w:rPr>
          <w:rFonts w:hint="eastAsia"/>
          <w:spacing w:val="2"/>
          <w:lang w:eastAsia="zh-CN"/>
        </w:rPr>
        <w:t xml:space="preserve"> </w:t>
      </w:r>
      <w:r>
        <w:rPr>
          <w:spacing w:val="2"/>
          <w:lang w:eastAsia="zh-CN"/>
        </w:rPr>
        <w:t xml:space="preserve">  </w:t>
      </w:r>
      <w:r>
        <w:rPr>
          <w:rFonts w:hint="eastAsia"/>
          <w:spacing w:val="2"/>
          <w:lang w:eastAsia="zh-CN"/>
        </w:rPr>
        <w:t xml:space="preserve"> 丁钥桥 </w:t>
      </w:r>
      <w:r>
        <w:rPr>
          <w:spacing w:val="2"/>
          <w:lang w:eastAsia="zh-CN"/>
        </w:rPr>
        <w:t xml:space="preserve"> </w:t>
      </w:r>
      <w:r>
        <w:rPr>
          <w:lang w:eastAsia="zh-CN"/>
        </w:rPr>
        <w:t>电话:15386458850</w:t>
      </w:r>
    </w:p>
    <w:p>
      <w:pPr>
        <w:pStyle w:val="2"/>
        <w:spacing w:before="147" w:line="300" w:lineRule="exact"/>
        <w:ind w:left="511"/>
        <w:rPr>
          <w:lang w:eastAsia="zh-CN"/>
        </w:rPr>
      </w:pPr>
      <w:r>
        <w:rPr>
          <w:spacing w:val="3"/>
          <w:lang w:eastAsia="zh-CN"/>
        </w:rPr>
        <w:t>交易系统使用服务咨询电话：湖南省公共资源交易</w:t>
      </w:r>
      <w:r>
        <w:rPr>
          <w:rFonts w:hint="eastAsia"/>
          <w:spacing w:val="3"/>
          <w:lang w:eastAsia="zh-CN"/>
        </w:rPr>
        <w:t xml:space="preserve"> </w:t>
      </w:r>
      <w:r>
        <w:rPr>
          <w:spacing w:val="3"/>
          <w:lang w:eastAsia="zh-CN"/>
        </w:rPr>
        <w:t xml:space="preserve">     </w:t>
      </w:r>
      <w:r>
        <w:rPr>
          <w:lang w:eastAsia="zh-CN"/>
        </w:rPr>
        <w:t>李先生</w:t>
      </w:r>
      <w:r>
        <w:rPr>
          <w:rFonts w:hint="eastAsia"/>
          <w:lang w:eastAsia="zh-CN"/>
        </w:rPr>
        <w:t xml:space="preserve"> </w:t>
      </w:r>
      <w:r>
        <w:rPr>
          <w:lang w:eastAsia="zh-CN"/>
        </w:rPr>
        <w:t>电话:0731-89665245</w:t>
      </w:r>
    </w:p>
    <w:p>
      <w:pPr>
        <w:pStyle w:val="2"/>
        <w:spacing w:before="147" w:line="300" w:lineRule="exact"/>
        <w:ind w:left="511"/>
        <w:rPr>
          <w:lang w:eastAsia="zh-CN"/>
        </w:rPr>
      </w:pPr>
    </w:p>
    <w:p>
      <w:pPr>
        <w:pStyle w:val="2"/>
        <w:spacing w:line="300" w:lineRule="exact"/>
        <w:ind w:right="4"/>
        <w:jc w:val="center"/>
        <w:rPr>
          <w:rFonts w:hint="eastAsia"/>
          <w:spacing w:val="1"/>
          <w:position w:val="19"/>
          <w:lang w:eastAsia="zh-CN"/>
        </w:rPr>
      </w:pPr>
      <w:bookmarkStart w:id="0" w:name="_GoBack"/>
      <w:bookmarkEnd w:id="0"/>
    </w:p>
    <w:p>
      <w:pPr>
        <w:pStyle w:val="2"/>
        <w:spacing w:line="300" w:lineRule="exact"/>
        <w:ind w:right="4"/>
        <w:jc w:val="center"/>
        <w:rPr>
          <w:rFonts w:hint="eastAsia"/>
          <w:spacing w:val="1"/>
          <w:position w:val="19"/>
          <w:lang w:eastAsia="zh-CN"/>
        </w:rPr>
      </w:pPr>
      <w:r>
        <w:rPr>
          <w:rFonts w:hint="eastAsia"/>
          <w:spacing w:val="2"/>
          <w:lang w:val="en-US" w:eastAsia="zh-CN"/>
        </w:rPr>
        <w:t xml:space="preserve">                                                         </w:t>
      </w:r>
      <w:r>
        <w:rPr>
          <w:spacing w:val="2"/>
          <w:lang w:eastAsia="zh-CN"/>
        </w:rPr>
        <w:t>湖南赛德拍卖有限公司</w:t>
      </w:r>
      <w:r>
        <w:rPr>
          <w:rFonts w:hint="eastAsia"/>
          <w:spacing w:val="1"/>
          <w:position w:val="19"/>
          <w:lang w:eastAsia="zh-CN"/>
        </w:rPr>
        <w:t xml:space="preserve">                                                              </w:t>
      </w:r>
    </w:p>
    <w:p>
      <w:pPr>
        <w:pStyle w:val="2"/>
        <w:spacing w:line="300" w:lineRule="exact"/>
        <w:ind w:right="4"/>
        <w:jc w:val="center"/>
        <w:rPr>
          <w:lang w:eastAsia="zh-CN"/>
        </w:rPr>
      </w:pPr>
      <w:r>
        <w:rPr>
          <w:rFonts w:hint="eastAsia"/>
          <w:spacing w:val="1"/>
          <w:position w:val="19"/>
          <w:lang w:eastAsia="zh-CN"/>
        </w:rPr>
        <w:t xml:space="preserve">                                                             </w:t>
      </w:r>
      <w:r>
        <w:rPr>
          <w:spacing w:val="1"/>
          <w:lang w:eastAsia="zh-CN"/>
        </w:rPr>
        <w:t>2024年</w:t>
      </w:r>
      <w:r>
        <w:rPr>
          <w:color w:val="FF0000"/>
          <w:spacing w:val="1"/>
          <w:lang w:eastAsia="zh-CN"/>
        </w:rPr>
        <w:t>0</w:t>
      </w:r>
      <w:r>
        <w:rPr>
          <w:rFonts w:hint="eastAsia"/>
          <w:color w:val="FF0000"/>
          <w:spacing w:val="1"/>
          <w:lang w:eastAsia="zh-CN"/>
        </w:rPr>
        <w:t>4</w:t>
      </w:r>
      <w:r>
        <w:rPr>
          <w:color w:val="FF0000"/>
          <w:spacing w:val="1"/>
          <w:lang w:eastAsia="zh-CN"/>
        </w:rPr>
        <w:t>月</w:t>
      </w:r>
      <w:r>
        <w:rPr>
          <w:rFonts w:hint="eastAsia"/>
          <w:color w:val="FF0000"/>
          <w:spacing w:val="3"/>
          <w:lang w:val="en-US" w:eastAsia="zh-CN"/>
        </w:rPr>
        <w:t>30</w:t>
      </w:r>
      <w:r>
        <w:rPr>
          <w:color w:val="FF0000"/>
          <w:spacing w:val="1"/>
          <w:lang w:eastAsia="zh-CN"/>
        </w:rPr>
        <w:t>日</w:t>
      </w:r>
    </w:p>
    <w:sectPr>
      <w:headerReference r:id="rId3" w:type="default"/>
      <w:pgSz w:w="16840" w:h="11900"/>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DU2ZjBjMTY2ODc4YTdkOTBkOWM4MmMyNmMwMGEzN2IifQ=="/>
  </w:docVars>
  <w:rsids>
    <w:rsidRoot w:val="00AD7CFA"/>
    <w:rsid w:val="00045103"/>
    <w:rsid w:val="001243CC"/>
    <w:rsid w:val="001B5DA8"/>
    <w:rsid w:val="00217C75"/>
    <w:rsid w:val="002521B3"/>
    <w:rsid w:val="00494945"/>
    <w:rsid w:val="00594D62"/>
    <w:rsid w:val="006009EA"/>
    <w:rsid w:val="006C302B"/>
    <w:rsid w:val="006E6625"/>
    <w:rsid w:val="007476C5"/>
    <w:rsid w:val="007E4520"/>
    <w:rsid w:val="007E6EE2"/>
    <w:rsid w:val="00937928"/>
    <w:rsid w:val="00A15276"/>
    <w:rsid w:val="00AD7CFA"/>
    <w:rsid w:val="00B23933"/>
    <w:rsid w:val="00BE553F"/>
    <w:rsid w:val="00C936D9"/>
    <w:rsid w:val="00CA41F3"/>
    <w:rsid w:val="00DD4702"/>
    <w:rsid w:val="00DF4A90"/>
    <w:rsid w:val="00E42311"/>
    <w:rsid w:val="00EA1D6F"/>
    <w:rsid w:val="00EA3A27"/>
    <w:rsid w:val="00EF4EB9"/>
    <w:rsid w:val="011D4BFA"/>
    <w:rsid w:val="02985DC6"/>
    <w:rsid w:val="0758339B"/>
    <w:rsid w:val="08A802E5"/>
    <w:rsid w:val="09216B15"/>
    <w:rsid w:val="097F75FA"/>
    <w:rsid w:val="09C0369B"/>
    <w:rsid w:val="09C85A5C"/>
    <w:rsid w:val="0AB539B9"/>
    <w:rsid w:val="0C311C32"/>
    <w:rsid w:val="0D3A2ADA"/>
    <w:rsid w:val="0D5D20E6"/>
    <w:rsid w:val="10FE2C70"/>
    <w:rsid w:val="113A43BB"/>
    <w:rsid w:val="12F25439"/>
    <w:rsid w:val="134E2603"/>
    <w:rsid w:val="13A22600"/>
    <w:rsid w:val="13FF1DF1"/>
    <w:rsid w:val="143968F7"/>
    <w:rsid w:val="144B046B"/>
    <w:rsid w:val="14D0319D"/>
    <w:rsid w:val="15E83F8E"/>
    <w:rsid w:val="162E461F"/>
    <w:rsid w:val="163C531D"/>
    <w:rsid w:val="164B6AF4"/>
    <w:rsid w:val="169721C5"/>
    <w:rsid w:val="1697606B"/>
    <w:rsid w:val="17826B77"/>
    <w:rsid w:val="17942BA8"/>
    <w:rsid w:val="180C0917"/>
    <w:rsid w:val="18BB43D1"/>
    <w:rsid w:val="1975591B"/>
    <w:rsid w:val="197D5C7C"/>
    <w:rsid w:val="19ED7475"/>
    <w:rsid w:val="1A1B310D"/>
    <w:rsid w:val="1AF24E7B"/>
    <w:rsid w:val="1D343E71"/>
    <w:rsid w:val="1DD666D0"/>
    <w:rsid w:val="1F262338"/>
    <w:rsid w:val="1F4153C3"/>
    <w:rsid w:val="1F861224"/>
    <w:rsid w:val="1FBC5121"/>
    <w:rsid w:val="21244449"/>
    <w:rsid w:val="213760C2"/>
    <w:rsid w:val="21F11519"/>
    <w:rsid w:val="222410B2"/>
    <w:rsid w:val="226A23B4"/>
    <w:rsid w:val="228E1680"/>
    <w:rsid w:val="24092201"/>
    <w:rsid w:val="24381196"/>
    <w:rsid w:val="268A7650"/>
    <w:rsid w:val="26B40B71"/>
    <w:rsid w:val="26B6759D"/>
    <w:rsid w:val="272C4634"/>
    <w:rsid w:val="28F10206"/>
    <w:rsid w:val="294C6E3F"/>
    <w:rsid w:val="2AF754D0"/>
    <w:rsid w:val="2C05036B"/>
    <w:rsid w:val="2C25375B"/>
    <w:rsid w:val="2DAA4A7C"/>
    <w:rsid w:val="2DAB7EBB"/>
    <w:rsid w:val="2DAE2E10"/>
    <w:rsid w:val="2DFA2359"/>
    <w:rsid w:val="2E652751"/>
    <w:rsid w:val="2EBE07DF"/>
    <w:rsid w:val="2F971030"/>
    <w:rsid w:val="303815F7"/>
    <w:rsid w:val="30976DA2"/>
    <w:rsid w:val="31F34827"/>
    <w:rsid w:val="34427AF5"/>
    <w:rsid w:val="36006227"/>
    <w:rsid w:val="36743EE1"/>
    <w:rsid w:val="37426742"/>
    <w:rsid w:val="37E50C91"/>
    <w:rsid w:val="38102B71"/>
    <w:rsid w:val="398450ED"/>
    <w:rsid w:val="39A802E9"/>
    <w:rsid w:val="3B5C320A"/>
    <w:rsid w:val="3C060596"/>
    <w:rsid w:val="3D7038DB"/>
    <w:rsid w:val="3E5500EC"/>
    <w:rsid w:val="4045177C"/>
    <w:rsid w:val="40663812"/>
    <w:rsid w:val="41984BCA"/>
    <w:rsid w:val="41C6505A"/>
    <w:rsid w:val="44BE2E8F"/>
    <w:rsid w:val="4509231A"/>
    <w:rsid w:val="461036EB"/>
    <w:rsid w:val="46433629"/>
    <w:rsid w:val="46E2244C"/>
    <w:rsid w:val="47411B55"/>
    <w:rsid w:val="47D536AA"/>
    <w:rsid w:val="4B29678D"/>
    <w:rsid w:val="4B82005A"/>
    <w:rsid w:val="4CC571A1"/>
    <w:rsid w:val="4E3A43C4"/>
    <w:rsid w:val="4EA41F28"/>
    <w:rsid w:val="4EF179BD"/>
    <w:rsid w:val="500B0315"/>
    <w:rsid w:val="51F44255"/>
    <w:rsid w:val="53526EAE"/>
    <w:rsid w:val="540B2B2D"/>
    <w:rsid w:val="551138A1"/>
    <w:rsid w:val="56094A32"/>
    <w:rsid w:val="58B12121"/>
    <w:rsid w:val="58C761A7"/>
    <w:rsid w:val="597E2795"/>
    <w:rsid w:val="5A3F74E6"/>
    <w:rsid w:val="5AF727FF"/>
    <w:rsid w:val="5CD47369"/>
    <w:rsid w:val="5D706060"/>
    <w:rsid w:val="5EA9720E"/>
    <w:rsid w:val="5F7558A0"/>
    <w:rsid w:val="60EA2A4E"/>
    <w:rsid w:val="62913539"/>
    <w:rsid w:val="62C05BCC"/>
    <w:rsid w:val="639E7AC5"/>
    <w:rsid w:val="64D9713B"/>
    <w:rsid w:val="6515681C"/>
    <w:rsid w:val="670100A8"/>
    <w:rsid w:val="673E5189"/>
    <w:rsid w:val="67776A1B"/>
    <w:rsid w:val="67B657F0"/>
    <w:rsid w:val="67F43143"/>
    <w:rsid w:val="6AF91C7B"/>
    <w:rsid w:val="6B376C47"/>
    <w:rsid w:val="6C21607E"/>
    <w:rsid w:val="6C44161C"/>
    <w:rsid w:val="6D8A7709"/>
    <w:rsid w:val="6E421B8B"/>
    <w:rsid w:val="6E8E454B"/>
    <w:rsid w:val="6F916480"/>
    <w:rsid w:val="73533A44"/>
    <w:rsid w:val="743633C1"/>
    <w:rsid w:val="7447614D"/>
    <w:rsid w:val="758147E1"/>
    <w:rsid w:val="76810114"/>
    <w:rsid w:val="76E97584"/>
    <w:rsid w:val="782557C0"/>
    <w:rsid w:val="78433CFE"/>
    <w:rsid w:val="78903155"/>
    <w:rsid w:val="78FE1FE6"/>
    <w:rsid w:val="7B2F2FAE"/>
    <w:rsid w:val="7CBE18E3"/>
    <w:rsid w:val="7CC778A3"/>
    <w:rsid w:val="7D6F401F"/>
    <w:rsid w:val="7F642801"/>
    <w:rsid w:val="7FF07699"/>
    <w:rsid w:val="7FF13411"/>
    <w:rsid w:val="7FFA6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3"/>
      <w:szCs w:val="23"/>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3"/>
      <w:szCs w:val="2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935</Words>
  <Characters>1070</Characters>
  <Lines>8</Lines>
  <Paragraphs>2</Paragraphs>
  <TotalTime>7</TotalTime>
  <ScaleCrop>false</ScaleCrop>
  <LinksUpToDate>false</LinksUpToDate>
  <CharactersWithSpaces>1264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2024-01-02T15:27:00Z</dcterms:created>
  <dc:creator>产品部</dc:creator>
  <cp:lastModifiedBy>小昭</cp:lastModifiedBy>
  <dcterms:modified xsi:type="dcterms:W3CDTF">2024-04-28T07:53:33Z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2024-01-03T16:21:07Z</vt:filetime>
  </property>
  <property fmtid="{D5CDD505-2E9C-101B-9397-08002B2CF9AE}" pid="4" name="KSOProductBuildVer">
    <vt:lpwstr>2052-11.8.2.12195</vt:lpwstr>
  </property>
  <property fmtid="{D5CDD505-2E9C-101B-9397-08002B2CF9AE}" pid="5" name="ICV">
    <vt:lpwstr>2DBEBADC77364B13850608AB40F57C7B</vt:lpwstr>
  </property>
</Properties>
</file>