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color w:val="auto"/>
          <w:sz w:val="32"/>
          <w:szCs w:val="21"/>
        </w:rPr>
      </w:pPr>
      <w:r>
        <w:rPr>
          <w:rFonts w:hint="eastAsia" w:ascii="方正小标宋_GBK" w:hAnsi="方正小标宋_GBK" w:eastAsia="方正小标宋_GBK" w:cs="方正小标宋_GBK"/>
          <w:color w:val="auto"/>
          <w:sz w:val="32"/>
          <w:szCs w:val="21"/>
        </w:rPr>
        <w:t>长沙市开福区东风路123号原省机械设备成套局办公楼</w:t>
      </w:r>
    </w:p>
    <w:p>
      <w:pPr>
        <w:jc w:val="center"/>
        <w:rPr>
          <w:rFonts w:ascii="方正小标宋简体" w:eastAsia="方正小标宋简体"/>
          <w:color w:val="auto"/>
          <w:sz w:val="32"/>
          <w:szCs w:val="21"/>
        </w:rPr>
      </w:pPr>
      <w:r>
        <w:rPr>
          <w:rFonts w:hint="eastAsia" w:ascii="方正小标宋_GBK" w:hAnsi="方正小标宋_GBK" w:eastAsia="方正小标宋_GBK" w:cs="方正小标宋_GBK"/>
          <w:color w:val="auto"/>
          <w:sz w:val="32"/>
          <w:szCs w:val="21"/>
        </w:rPr>
        <w:t>临街2号门面租赁权拍卖文件</w:t>
      </w:r>
    </w:p>
    <w:p>
      <w:pPr>
        <w:pStyle w:val="9"/>
        <w:spacing w:before="75" w:beforeAutospacing="0" w:after="75" w:afterAutospacing="0"/>
        <w:ind w:firstLine="880"/>
        <w:jc w:val="center"/>
        <w:rPr>
          <w:rFonts w:ascii="仿宋" w:hAnsi="仿宋" w:eastAsia="仿宋"/>
          <w:color w:val="auto"/>
        </w:rPr>
      </w:pPr>
      <w:r>
        <w:rPr>
          <w:rFonts w:hint="eastAsia" w:ascii="黑体" w:hAnsi="黑体" w:eastAsia="黑体"/>
          <w:color w:val="auto"/>
          <w:sz w:val="44"/>
          <w:szCs w:val="44"/>
        </w:rPr>
        <w:t>交易公告（出租）</w:t>
      </w:r>
      <w:bookmarkStart w:id="0" w:name="_GoBack"/>
      <w:bookmarkEnd w:id="0"/>
    </w:p>
    <w:p>
      <w:pPr>
        <w:pStyle w:val="9"/>
        <w:spacing w:before="75" w:beforeAutospacing="0" w:after="75" w:afterAutospacing="0"/>
        <w:rPr>
          <w:rFonts w:hint="eastAsia" w:ascii="仿宋" w:hAnsi="仿宋" w:eastAsia="仿宋"/>
          <w:color w:val="auto"/>
        </w:rPr>
      </w:pPr>
    </w:p>
    <w:p>
      <w:pPr>
        <w:pStyle w:val="9"/>
        <w:wordWrap w:val="0"/>
        <w:spacing w:before="0" w:beforeAutospacing="0" w:after="0" w:afterAutospacing="0" w:line="570" w:lineRule="atLeast"/>
        <w:ind w:firstLine="640"/>
        <w:jc w:val="both"/>
        <w:rPr>
          <w:rFonts w:hint="eastAsia" w:ascii="仿宋" w:hAnsi="仿宋" w:eastAsia="仿宋"/>
          <w:color w:val="auto"/>
          <w:sz w:val="30"/>
          <w:szCs w:val="30"/>
        </w:rPr>
      </w:pPr>
      <w:r>
        <w:rPr>
          <w:rFonts w:hint="eastAsia" w:ascii="仿宋" w:hAnsi="仿宋" w:eastAsia="仿宋"/>
          <w:color w:val="auto"/>
          <w:sz w:val="30"/>
          <w:szCs w:val="30"/>
        </w:rPr>
        <w:t>根据有关法律、法规的规定，决定以网上公开出租1宗国有资产，现将有关事项公告如下：</w:t>
      </w:r>
    </w:p>
    <w:p>
      <w:pPr>
        <w:pStyle w:val="9"/>
        <w:spacing w:before="0" w:beforeAutospacing="0" w:after="0" w:afterAutospacing="0" w:line="570" w:lineRule="atLeast"/>
        <w:ind w:firstLine="640"/>
        <w:jc w:val="both"/>
        <w:rPr>
          <w:rFonts w:hint="eastAsia" w:ascii="仿宋" w:hAnsi="仿宋" w:eastAsia="仿宋"/>
          <w:color w:val="auto"/>
          <w:sz w:val="30"/>
          <w:szCs w:val="30"/>
        </w:rPr>
      </w:pPr>
      <w:r>
        <w:rPr>
          <w:rFonts w:hint="eastAsia" w:ascii="仿宋" w:hAnsi="仿宋" w:eastAsia="仿宋"/>
          <w:color w:val="auto"/>
          <w:sz w:val="30"/>
          <w:szCs w:val="30"/>
        </w:rPr>
        <w:t>一、网上公开出租国有资产的基本情况</w:t>
      </w:r>
    </w:p>
    <w:tbl>
      <w:tblPr>
        <w:tblStyle w:val="10"/>
        <w:tblW w:w="0" w:type="auto"/>
        <w:tblInd w:w="-586" w:type="dxa"/>
        <w:tblLayout w:type="fixed"/>
        <w:tblCellMar>
          <w:top w:w="0" w:type="dxa"/>
          <w:left w:w="0" w:type="dxa"/>
          <w:bottom w:w="0" w:type="dxa"/>
          <w:right w:w="0" w:type="dxa"/>
        </w:tblCellMar>
      </w:tblPr>
      <w:tblGrid>
        <w:gridCol w:w="392"/>
        <w:gridCol w:w="1872"/>
        <w:gridCol w:w="1150"/>
        <w:gridCol w:w="2127"/>
        <w:gridCol w:w="849"/>
        <w:gridCol w:w="986"/>
        <w:gridCol w:w="1143"/>
        <w:gridCol w:w="849"/>
      </w:tblGrid>
      <w:tr>
        <w:tblPrEx>
          <w:tblCellMar>
            <w:top w:w="0" w:type="dxa"/>
            <w:left w:w="0" w:type="dxa"/>
            <w:bottom w:w="0" w:type="dxa"/>
            <w:right w:w="0" w:type="dxa"/>
          </w:tblCellMar>
        </w:tblPrEx>
        <w:tc>
          <w:tcPr>
            <w:tcW w:w="392"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序号</w:t>
            </w:r>
          </w:p>
        </w:tc>
        <w:tc>
          <w:tcPr>
            <w:tcW w:w="1872"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标的名称</w:t>
            </w:r>
          </w:p>
        </w:tc>
        <w:tc>
          <w:tcPr>
            <w:tcW w:w="1150"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交易编号</w:t>
            </w:r>
          </w:p>
        </w:tc>
        <w:tc>
          <w:tcPr>
            <w:tcW w:w="2127"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标的概况</w:t>
            </w:r>
          </w:p>
        </w:tc>
        <w:tc>
          <w:tcPr>
            <w:tcW w:w="849"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wordWrap w:val="0"/>
              <w:spacing w:after="150"/>
              <w:jc w:val="center"/>
              <w:rPr>
                <w:rFonts w:hint="eastAsia" w:ascii="仿宋" w:hAnsi="仿宋" w:eastAsia="仿宋"/>
                <w:color w:val="auto"/>
                <w:sz w:val="24"/>
              </w:rPr>
            </w:pPr>
            <w:r>
              <w:rPr>
                <w:rFonts w:hint="eastAsia" w:ascii="仿宋" w:hAnsi="仿宋" w:eastAsia="仿宋"/>
                <w:color w:val="auto"/>
                <w:sz w:val="24"/>
              </w:rPr>
              <w:t>出租面积</w:t>
            </w:r>
          </w:p>
        </w:tc>
        <w:tc>
          <w:tcPr>
            <w:tcW w:w="986"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标的所在地</w:t>
            </w:r>
          </w:p>
        </w:tc>
        <w:tc>
          <w:tcPr>
            <w:tcW w:w="1143"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起始价</w:t>
            </w:r>
          </w:p>
        </w:tc>
        <w:tc>
          <w:tcPr>
            <w:tcW w:w="849"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增价幅度</w:t>
            </w:r>
          </w:p>
        </w:tc>
      </w:tr>
      <w:tr>
        <w:tblPrEx>
          <w:tblCellMar>
            <w:top w:w="0" w:type="dxa"/>
            <w:left w:w="0" w:type="dxa"/>
            <w:bottom w:w="0" w:type="dxa"/>
            <w:right w:w="0" w:type="dxa"/>
          </w:tblCellMar>
        </w:tblPrEx>
        <w:tc>
          <w:tcPr>
            <w:tcW w:w="392"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1</w:t>
            </w:r>
          </w:p>
        </w:tc>
        <w:tc>
          <w:tcPr>
            <w:tcW w:w="1872"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长沙市开福区东风路123号原省机械设备成套局办公楼临街2号门面租赁权</w:t>
            </w:r>
          </w:p>
        </w:tc>
        <w:tc>
          <w:tcPr>
            <w:tcW w:w="1150"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wordWrap w:val="0"/>
              <w:spacing w:after="150"/>
              <w:jc w:val="center"/>
              <w:rPr>
                <w:rFonts w:hint="eastAsia" w:ascii="仿宋" w:hAnsi="仿宋" w:eastAsia="仿宋"/>
                <w:color w:val="auto"/>
                <w:sz w:val="24"/>
              </w:rPr>
            </w:pPr>
            <w:r>
              <w:rPr>
                <w:rFonts w:hint="eastAsia" w:ascii="仿宋" w:hAnsi="仿宋" w:eastAsia="仿宋"/>
                <w:color w:val="auto"/>
                <w:sz w:val="24"/>
              </w:rPr>
              <w:t>湘国资〔2024〕007号</w:t>
            </w:r>
          </w:p>
        </w:tc>
        <w:tc>
          <w:tcPr>
            <w:tcW w:w="2127"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spacing w:after="150"/>
              <w:jc w:val="center"/>
              <w:rPr>
                <w:rFonts w:hint="eastAsia" w:ascii="仿宋" w:hAnsi="仿宋" w:eastAsia="仿宋"/>
                <w:color w:val="auto"/>
                <w:sz w:val="24"/>
              </w:rPr>
            </w:pPr>
            <w:r>
              <w:rPr>
                <w:rFonts w:hint="eastAsia" w:ascii="仿宋" w:hAnsi="仿宋" w:eastAsia="仿宋"/>
                <w:color w:val="auto"/>
                <w:sz w:val="24"/>
              </w:rPr>
              <w:t>房屋户型：一室；是否设置原承租人优先购买权：否；</w:t>
            </w:r>
          </w:p>
        </w:tc>
        <w:tc>
          <w:tcPr>
            <w:tcW w:w="849"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wordWrap w:val="0"/>
              <w:spacing w:after="150"/>
              <w:jc w:val="center"/>
              <w:rPr>
                <w:rFonts w:hint="eastAsia" w:ascii="仿宋" w:hAnsi="仿宋" w:eastAsia="仿宋"/>
                <w:color w:val="auto"/>
                <w:sz w:val="24"/>
              </w:rPr>
            </w:pPr>
            <w:r>
              <w:rPr>
                <w:rFonts w:hint="eastAsia" w:ascii="仿宋" w:hAnsi="仿宋" w:eastAsia="仿宋"/>
                <w:color w:val="auto"/>
                <w:sz w:val="24"/>
              </w:rPr>
              <w:t>14.19平方米</w:t>
            </w:r>
          </w:p>
        </w:tc>
        <w:tc>
          <w:tcPr>
            <w:tcW w:w="986"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wordWrap w:val="0"/>
              <w:spacing w:after="150"/>
              <w:jc w:val="center"/>
              <w:rPr>
                <w:rFonts w:hint="eastAsia" w:ascii="仿宋" w:hAnsi="仿宋" w:eastAsia="仿宋"/>
                <w:color w:val="auto"/>
                <w:sz w:val="24"/>
              </w:rPr>
            </w:pPr>
            <w:r>
              <w:rPr>
                <w:rFonts w:hint="eastAsia" w:ascii="仿宋" w:hAnsi="仿宋" w:eastAsia="仿宋"/>
                <w:color w:val="auto"/>
                <w:sz w:val="24"/>
              </w:rPr>
              <w:t>长沙市</w:t>
            </w:r>
          </w:p>
        </w:tc>
        <w:tc>
          <w:tcPr>
            <w:tcW w:w="1143"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wordWrap w:val="0"/>
              <w:spacing w:after="150"/>
              <w:jc w:val="center"/>
              <w:rPr>
                <w:rFonts w:hint="eastAsia" w:ascii="仿宋" w:hAnsi="仿宋" w:eastAsia="仿宋"/>
                <w:color w:val="auto"/>
                <w:sz w:val="24"/>
              </w:rPr>
            </w:pPr>
            <w:r>
              <w:rPr>
                <w:rFonts w:hint="eastAsia" w:ascii="仿宋" w:hAnsi="仿宋" w:eastAsia="仿宋"/>
                <w:color w:val="auto"/>
                <w:sz w:val="24"/>
              </w:rPr>
              <w:t>20400元/年</w:t>
            </w:r>
          </w:p>
        </w:tc>
        <w:tc>
          <w:tcPr>
            <w:tcW w:w="849" w:type="dxa"/>
            <w:tcBorders>
              <w:top w:val="single" w:color="515A6E" w:sz="6" w:space="0"/>
              <w:left w:val="single" w:color="515A6E" w:sz="6" w:space="0"/>
              <w:bottom w:val="single" w:color="515A6E" w:sz="6" w:space="0"/>
              <w:right w:val="single" w:color="515A6E" w:sz="6" w:space="0"/>
            </w:tcBorders>
            <w:tcMar>
              <w:top w:w="75" w:type="dxa"/>
              <w:left w:w="75" w:type="dxa"/>
              <w:bottom w:w="75" w:type="dxa"/>
              <w:right w:w="75" w:type="dxa"/>
            </w:tcMar>
            <w:vAlign w:val="center"/>
          </w:tcPr>
          <w:p>
            <w:pPr>
              <w:wordWrap w:val="0"/>
              <w:spacing w:after="150"/>
              <w:jc w:val="center"/>
              <w:rPr>
                <w:rFonts w:hint="eastAsia" w:ascii="仿宋" w:hAnsi="仿宋" w:eastAsia="仿宋"/>
                <w:color w:val="auto"/>
                <w:sz w:val="24"/>
              </w:rPr>
            </w:pPr>
            <w:r>
              <w:rPr>
                <w:rFonts w:hint="eastAsia" w:ascii="仿宋" w:hAnsi="仿宋" w:eastAsia="仿宋"/>
                <w:color w:val="auto"/>
                <w:sz w:val="24"/>
              </w:rPr>
              <w:t>500元/年</w:t>
            </w:r>
          </w:p>
        </w:tc>
      </w:tr>
    </w:tbl>
    <w:p>
      <w:pPr>
        <w:pStyle w:val="9"/>
        <w:spacing w:before="0" w:beforeAutospacing="0" w:after="0" w:afterAutospacing="0" w:line="570" w:lineRule="atLeast"/>
        <w:ind w:firstLine="640"/>
        <w:jc w:val="both"/>
        <w:rPr>
          <w:rFonts w:hint="eastAsia" w:ascii="仿宋" w:hAnsi="仿宋" w:eastAsia="仿宋"/>
          <w:color w:val="auto"/>
          <w:sz w:val="28"/>
          <w:szCs w:val="28"/>
        </w:rPr>
      </w:pPr>
      <w:r>
        <w:rPr>
          <w:rFonts w:eastAsia="仿宋" w:cs="Calibri"/>
          <w:color w:val="auto"/>
          <w:sz w:val="28"/>
          <w:szCs w:val="28"/>
        </w:rPr>
        <w:t> </w:t>
      </w:r>
      <w:r>
        <w:rPr>
          <w:rFonts w:hint="eastAsia" w:ascii="仿宋" w:hAnsi="仿宋" w:eastAsia="仿宋"/>
          <w:color w:val="auto"/>
          <w:sz w:val="28"/>
          <w:szCs w:val="28"/>
        </w:rPr>
        <w:t>注：1、合同期内租金无递增。</w:t>
      </w:r>
    </w:p>
    <w:p>
      <w:pPr>
        <w:pStyle w:val="9"/>
        <w:spacing w:before="0" w:beforeAutospacing="0" w:after="0" w:afterAutospacing="0" w:line="570" w:lineRule="atLeast"/>
        <w:ind w:firstLine="640"/>
        <w:jc w:val="both"/>
        <w:rPr>
          <w:rFonts w:hint="eastAsia" w:ascii="仿宋" w:hAnsi="仿宋" w:eastAsia="仿宋"/>
          <w:color w:val="auto"/>
          <w:sz w:val="28"/>
          <w:szCs w:val="28"/>
        </w:rPr>
      </w:pPr>
      <w:r>
        <w:rPr>
          <w:rFonts w:eastAsia="仿宋" w:cs="Calibri"/>
          <w:color w:val="auto"/>
          <w:sz w:val="28"/>
          <w:szCs w:val="28"/>
        </w:rPr>
        <w:t> </w:t>
      </w:r>
      <w:r>
        <w:rPr>
          <w:rFonts w:hint="eastAsia" w:ascii="仿宋" w:hAnsi="仿宋" w:eastAsia="仿宋"/>
          <w:color w:val="auto"/>
          <w:sz w:val="28"/>
          <w:szCs w:val="28"/>
        </w:rPr>
        <w:t xml:space="preserve"> </w:t>
      </w:r>
      <w:r>
        <w:rPr>
          <w:rFonts w:eastAsia="仿宋" w:cs="Calibri"/>
          <w:color w:val="auto"/>
          <w:sz w:val="28"/>
          <w:szCs w:val="28"/>
        </w:rPr>
        <w:t> </w:t>
      </w:r>
      <w:r>
        <w:rPr>
          <w:rFonts w:hint="eastAsia" w:ascii="仿宋" w:hAnsi="仿宋" w:eastAsia="仿宋"/>
          <w:color w:val="auto"/>
          <w:sz w:val="28"/>
          <w:szCs w:val="28"/>
        </w:rPr>
        <w:t xml:space="preserve"> </w:t>
      </w:r>
      <w:r>
        <w:rPr>
          <w:rFonts w:eastAsia="仿宋" w:cs="Calibri"/>
          <w:color w:val="auto"/>
          <w:sz w:val="28"/>
          <w:szCs w:val="28"/>
        </w:rPr>
        <w:t> </w:t>
      </w:r>
      <w:r>
        <w:rPr>
          <w:rFonts w:hint="eastAsia" w:ascii="仿宋" w:hAnsi="仿宋" w:eastAsia="仿宋"/>
          <w:color w:val="auto"/>
          <w:sz w:val="28"/>
          <w:szCs w:val="28"/>
        </w:rPr>
        <w:t xml:space="preserve"> </w:t>
      </w:r>
      <w:r>
        <w:rPr>
          <w:rFonts w:eastAsia="仿宋" w:cs="Calibri"/>
          <w:color w:val="auto"/>
          <w:sz w:val="28"/>
          <w:szCs w:val="28"/>
        </w:rPr>
        <w:t> </w:t>
      </w:r>
      <w:r>
        <w:rPr>
          <w:rFonts w:hint="eastAsia" w:ascii="仿宋" w:hAnsi="仿宋" w:eastAsia="仿宋"/>
          <w:color w:val="auto"/>
          <w:sz w:val="28"/>
          <w:szCs w:val="28"/>
        </w:rPr>
        <w:t>2、租金以半年为缴纳周期，需提前一个月一次性缴纳。</w:t>
      </w:r>
    </w:p>
    <w:p>
      <w:pPr>
        <w:pStyle w:val="9"/>
        <w:spacing w:before="0" w:beforeAutospacing="0" w:after="0" w:afterAutospacing="0" w:line="570" w:lineRule="atLeast"/>
        <w:ind w:firstLine="640"/>
        <w:jc w:val="both"/>
        <w:rPr>
          <w:rFonts w:hint="eastAsia" w:ascii="仿宋" w:hAnsi="仿宋" w:eastAsia="仿宋"/>
          <w:color w:val="auto"/>
          <w:sz w:val="28"/>
          <w:szCs w:val="28"/>
        </w:rPr>
      </w:pPr>
      <w:r>
        <w:rPr>
          <w:rFonts w:hint="eastAsia" w:ascii="MS Mincho" w:hAnsi="MS Mincho" w:eastAsia="MS Mincho" w:cs="MS Mincho"/>
          <w:color w:val="auto"/>
          <w:sz w:val="28"/>
          <w:szCs w:val="28"/>
        </w:rPr>
        <w:t>​</w:t>
      </w:r>
      <w:r>
        <w:rPr>
          <w:rFonts w:eastAsia="仿宋" w:cs="Calibri"/>
          <w:color w:val="auto"/>
          <w:sz w:val="28"/>
          <w:szCs w:val="28"/>
        </w:rPr>
        <w:t> </w:t>
      </w:r>
      <w:r>
        <w:rPr>
          <w:rFonts w:hint="eastAsia" w:ascii="仿宋" w:hAnsi="仿宋" w:eastAsia="仿宋"/>
          <w:color w:val="auto"/>
          <w:sz w:val="28"/>
          <w:szCs w:val="28"/>
        </w:rPr>
        <w:t xml:space="preserve"> </w:t>
      </w:r>
      <w:r>
        <w:rPr>
          <w:rFonts w:eastAsia="仿宋" w:cs="Calibri"/>
          <w:color w:val="auto"/>
          <w:sz w:val="28"/>
          <w:szCs w:val="28"/>
        </w:rPr>
        <w:t> </w:t>
      </w:r>
      <w:r>
        <w:rPr>
          <w:rFonts w:hint="eastAsia" w:ascii="仿宋" w:hAnsi="仿宋" w:eastAsia="仿宋"/>
          <w:color w:val="auto"/>
          <w:sz w:val="28"/>
          <w:szCs w:val="28"/>
        </w:rPr>
        <w:t xml:space="preserve"> </w:t>
      </w:r>
      <w:r>
        <w:rPr>
          <w:rFonts w:eastAsia="仿宋" w:cs="Calibri"/>
          <w:color w:val="auto"/>
          <w:sz w:val="28"/>
          <w:szCs w:val="28"/>
        </w:rPr>
        <w:t> </w:t>
      </w:r>
      <w:r>
        <w:rPr>
          <w:rFonts w:hint="eastAsia" w:ascii="仿宋" w:hAnsi="仿宋" w:eastAsia="仿宋"/>
          <w:color w:val="auto"/>
          <w:sz w:val="28"/>
          <w:szCs w:val="28"/>
        </w:rPr>
        <w:t xml:space="preserve"> </w:t>
      </w:r>
      <w:r>
        <w:rPr>
          <w:rFonts w:eastAsia="仿宋" w:cs="Calibri"/>
          <w:color w:val="auto"/>
          <w:sz w:val="28"/>
          <w:szCs w:val="28"/>
        </w:rPr>
        <w:t> </w:t>
      </w:r>
      <w:r>
        <w:rPr>
          <w:rFonts w:hint="eastAsia" w:ascii="仿宋" w:hAnsi="仿宋" w:eastAsia="仿宋"/>
          <w:color w:val="auto"/>
          <w:sz w:val="28"/>
          <w:szCs w:val="28"/>
        </w:rPr>
        <w:t>3、标的装修免租期为1个月。</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二、竞价方式的选择：网络竞价</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三、本次国有资产公开出租在互联网上交易，即通过湖南省国有资产资源交易平台的国有资产交易系统（</w:t>
      </w:r>
      <w:r>
        <w:rPr>
          <w:color w:val="auto"/>
        </w:rPr>
        <w:fldChar w:fldCharType="begin"/>
      </w:r>
      <w:r>
        <w:rPr>
          <w:color w:val="auto"/>
        </w:rPr>
        <w:instrText xml:space="preserve">HYPERLINK "www.hnsdzjy.org:18484/portal/index" \t "_blank"</w:instrText>
      </w:r>
      <w:r>
        <w:rPr>
          <w:color w:val="auto"/>
        </w:rPr>
        <w:fldChar w:fldCharType="separate"/>
      </w:r>
      <w:r>
        <w:rPr>
          <w:rStyle w:val="13"/>
          <w:rFonts w:hint="eastAsia" w:ascii="仿宋" w:hAnsi="仿宋" w:eastAsia="仿宋"/>
          <w:color w:val="auto"/>
          <w:sz w:val="28"/>
          <w:szCs w:val="28"/>
        </w:rPr>
        <w:t>www.hnsdzjy.org:18484/portal/index</w:t>
      </w:r>
      <w:r>
        <w:rPr>
          <w:color w:val="auto"/>
        </w:rPr>
        <w:fldChar w:fldCharType="end"/>
      </w:r>
      <w:r>
        <w:rPr>
          <w:rFonts w:hint="eastAsia" w:ascii="仿宋" w:hAnsi="仿宋" w:eastAsia="仿宋"/>
          <w:color w:val="auto"/>
          <w:sz w:val="28"/>
          <w:szCs w:val="28"/>
        </w:rPr>
        <w:t>，以下简称交易系统）进行。凡办理好数字证书及电子签章、符合本公告要求足额交纳竞价保证金的竞价人，方可参加本次网上公开出租交易活动。</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四、本次网上公开出租具体要求及竞得人确定方式详见各标的公开出租文件。有意竞价者可登录湖南省国有资产资源交易平台的国有资产交易系统查询。竞价人可于2024年01月12日08时00分00秒至2024年01月25日17时00分00秒，在网上浏览或下载本次网上公开出租标的相关文件，并按相关文件规定的操作程序参加竞价。</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五、本次网上公开出租活动网上报名时间为2024年01月12日08时00分00秒起（以网上交易系统服务器时间为准，下同）至2024年01月25日17时00分00秒止。</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六、竞价人应及时登录湖南省国有资产资源交易平台的国有资产交易系统，在系统上向出租人提交竞价申请，并交纳竞价保证金（保证金交纳账号由交易系统随机生成）。竞价保证金交纳截止时间为2024年01月25日17时00分00秒。</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七、本次网上公开出租活动竞价开始时间为2024年01月26日10时00分00秒。</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八、如果在参加本次网上公开出租活动的过程中遇到疑难问题，请及时联系各相关单位，联系电话如下：</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网上挂牌转让业务咨询电话：湖南省拍卖行有限责任公司 王经理13607435547</w:t>
      </w:r>
    </w:p>
    <w:p>
      <w:pPr>
        <w:pStyle w:val="9"/>
        <w:spacing w:before="0" w:beforeAutospacing="0" w:after="0" w:afterAutospacing="0" w:line="480" w:lineRule="exact"/>
        <w:ind w:firstLine="641"/>
        <w:jc w:val="both"/>
        <w:rPr>
          <w:rFonts w:hint="eastAsia" w:ascii="仿宋" w:hAnsi="仿宋" w:eastAsia="仿宋"/>
          <w:color w:val="auto"/>
          <w:sz w:val="28"/>
          <w:szCs w:val="28"/>
        </w:rPr>
      </w:pPr>
      <w:r>
        <w:rPr>
          <w:rFonts w:hint="eastAsia" w:ascii="仿宋" w:hAnsi="仿宋" w:eastAsia="仿宋"/>
          <w:color w:val="auto"/>
          <w:sz w:val="28"/>
          <w:szCs w:val="28"/>
        </w:rPr>
        <w:t>交易系统使用服务咨询电话：湖南省公共资源交易中心</w:t>
      </w:r>
    </w:p>
    <w:p>
      <w:pPr>
        <w:pStyle w:val="9"/>
        <w:spacing w:before="0" w:beforeAutospacing="0" w:after="0" w:afterAutospacing="0" w:line="660" w:lineRule="atLeast"/>
        <w:ind w:firstLine="640"/>
        <w:jc w:val="right"/>
        <w:rPr>
          <w:rFonts w:ascii="仿宋" w:hAnsi="仿宋" w:eastAsia="仿宋"/>
          <w:color w:val="auto"/>
          <w:sz w:val="32"/>
          <w:szCs w:val="32"/>
        </w:rPr>
      </w:pPr>
    </w:p>
    <w:p>
      <w:pPr>
        <w:pStyle w:val="9"/>
        <w:spacing w:before="0" w:beforeAutospacing="0" w:after="0" w:afterAutospacing="0" w:line="480" w:lineRule="exact"/>
        <w:ind w:firstLine="641"/>
        <w:jc w:val="right"/>
        <w:rPr>
          <w:rFonts w:hint="eastAsia" w:ascii="仿宋" w:hAnsi="仿宋" w:eastAsia="仿宋"/>
          <w:color w:val="auto"/>
          <w:sz w:val="32"/>
          <w:szCs w:val="32"/>
        </w:rPr>
      </w:pPr>
      <w:r>
        <w:rPr>
          <w:rFonts w:hint="eastAsia" w:ascii="仿宋" w:hAnsi="仿宋" w:eastAsia="仿宋"/>
          <w:color w:val="auto"/>
          <w:sz w:val="32"/>
          <w:szCs w:val="32"/>
        </w:rPr>
        <w:t>湖南省拍卖行有限责任公司</w:t>
      </w:r>
    </w:p>
    <w:p>
      <w:pPr>
        <w:pStyle w:val="9"/>
        <w:spacing w:before="0" w:beforeAutospacing="0" w:after="0" w:afterAutospacing="0" w:line="480" w:lineRule="exact"/>
        <w:ind w:firstLine="641"/>
        <w:jc w:val="right"/>
        <w:rPr>
          <w:rFonts w:hint="eastAsia" w:ascii="仿宋" w:hAnsi="仿宋" w:eastAsia="仿宋"/>
          <w:color w:val="auto"/>
          <w:sz w:val="32"/>
          <w:szCs w:val="32"/>
        </w:rPr>
      </w:pPr>
      <w:r>
        <w:rPr>
          <w:rFonts w:hint="eastAsia" w:ascii="仿宋" w:hAnsi="仿宋" w:eastAsia="仿宋"/>
          <w:color w:val="auto"/>
          <w:sz w:val="32"/>
          <w:szCs w:val="32"/>
        </w:rPr>
        <w:t>2024年01月12日</w:t>
      </w:r>
    </w:p>
    <w:p>
      <w:pPr>
        <w:pStyle w:val="9"/>
        <w:spacing w:before="0" w:beforeAutospacing="0" w:after="0" w:afterAutospacing="0" w:line="660" w:lineRule="atLeast"/>
        <w:jc w:val="right"/>
        <w:rPr>
          <w:rFonts w:hint="eastAsia" w:ascii="仿宋" w:hAnsi="仿宋" w:eastAsia="仿宋"/>
          <w:color w:val="auto"/>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方正舒体">
    <w:panose1 w:val="02010601030101010101"/>
    <w:charset w:val="86"/>
    <w:family w:val="auto"/>
    <w:pitch w:val="default"/>
    <w:sig w:usb0="00000003" w:usb1="080E0000" w:usb2="00000000" w:usb3="00000000" w:csb0="00040000" w:csb1="00000000"/>
  </w:font>
  <w:font w:name="Yu Gothic UI">
    <w:panose1 w:val="020B0500000000000000"/>
    <w:charset w:val="80"/>
    <w:family w:val="auto"/>
    <w:pitch w:val="default"/>
    <w:sig w:usb0="E00002FF" w:usb1="2AC7FDFF" w:usb2="00000016" w:usb3="00000000" w:csb0="2002009F" w:csb1="0000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0N2NhZmNhNjAyZWNjNjYwYzgwYTQxMDlhMTk2MzAifQ=="/>
  </w:docVars>
  <w:rsids>
    <w:rsidRoot w:val="002C3CAA"/>
    <w:rsid w:val="00094798"/>
    <w:rsid w:val="000D42FE"/>
    <w:rsid w:val="001D5657"/>
    <w:rsid w:val="001F3964"/>
    <w:rsid w:val="00201971"/>
    <w:rsid w:val="0023327F"/>
    <w:rsid w:val="00295197"/>
    <w:rsid w:val="002A7737"/>
    <w:rsid w:val="002B001B"/>
    <w:rsid w:val="002C2917"/>
    <w:rsid w:val="002C3CAA"/>
    <w:rsid w:val="00316C89"/>
    <w:rsid w:val="003300F8"/>
    <w:rsid w:val="00392C76"/>
    <w:rsid w:val="003B3508"/>
    <w:rsid w:val="003C61EB"/>
    <w:rsid w:val="00475EBF"/>
    <w:rsid w:val="00551FEF"/>
    <w:rsid w:val="005B2914"/>
    <w:rsid w:val="005B522B"/>
    <w:rsid w:val="00644A9A"/>
    <w:rsid w:val="006650CE"/>
    <w:rsid w:val="00697D29"/>
    <w:rsid w:val="006C489A"/>
    <w:rsid w:val="00700853"/>
    <w:rsid w:val="007731AC"/>
    <w:rsid w:val="008057F9"/>
    <w:rsid w:val="00812E3E"/>
    <w:rsid w:val="008F348B"/>
    <w:rsid w:val="008F3F04"/>
    <w:rsid w:val="00912DCC"/>
    <w:rsid w:val="0094135F"/>
    <w:rsid w:val="009E762E"/>
    <w:rsid w:val="00A40D2B"/>
    <w:rsid w:val="00A42AD1"/>
    <w:rsid w:val="00A70380"/>
    <w:rsid w:val="00A87F69"/>
    <w:rsid w:val="00AF56FA"/>
    <w:rsid w:val="00B01E49"/>
    <w:rsid w:val="00B73885"/>
    <w:rsid w:val="00BA40A9"/>
    <w:rsid w:val="00C91AE8"/>
    <w:rsid w:val="00D16C70"/>
    <w:rsid w:val="00D24DF6"/>
    <w:rsid w:val="00D775BA"/>
    <w:rsid w:val="00D96FF4"/>
    <w:rsid w:val="00DB38B9"/>
    <w:rsid w:val="00DE523C"/>
    <w:rsid w:val="00E74D6B"/>
    <w:rsid w:val="00EC6108"/>
    <w:rsid w:val="00EF0C06"/>
    <w:rsid w:val="00EF71BB"/>
    <w:rsid w:val="00F427DC"/>
    <w:rsid w:val="00F43E0A"/>
    <w:rsid w:val="00F71919"/>
    <w:rsid w:val="1B2A7D92"/>
    <w:rsid w:val="1FF22AC0"/>
    <w:rsid w:val="228D0920"/>
    <w:rsid w:val="4FEA4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link w:val="20"/>
    <w:autoRedefine/>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7"/>
    <w:autoRedefine/>
    <w:semiHidden/>
    <w:unhideWhenUsed/>
    <w:qFormat/>
    <w:uiPriority w:val="99"/>
    <w:pPr>
      <w:jc w:val="left"/>
    </w:pPr>
  </w:style>
  <w:style w:type="paragraph" w:styleId="4">
    <w:name w:val="Body Text Indent"/>
    <w:basedOn w:val="1"/>
    <w:next w:val="5"/>
    <w:link w:val="14"/>
    <w:autoRedefine/>
    <w:qFormat/>
    <w:uiPriority w:val="0"/>
    <w:pPr>
      <w:spacing w:line="500" w:lineRule="exact"/>
      <w:ind w:firstLine="560" w:firstLineChars="200"/>
    </w:pPr>
    <w:rPr>
      <w:bCs/>
      <w:kern w:val="0"/>
      <w:sz w:val="28"/>
      <w:szCs w:val="20"/>
    </w:rPr>
  </w:style>
  <w:style w:type="paragraph" w:styleId="5">
    <w:name w:val="annotation subject"/>
    <w:basedOn w:val="3"/>
    <w:next w:val="3"/>
    <w:link w:val="18"/>
    <w:autoRedefine/>
    <w:semiHidden/>
    <w:unhideWhenUsed/>
    <w:qFormat/>
    <w:uiPriority w:val="99"/>
    <w:rPr>
      <w:b/>
      <w:bCs/>
    </w:rPr>
  </w:style>
  <w:style w:type="paragraph" w:styleId="6">
    <w:name w:val="Balloon Text"/>
    <w:basedOn w:val="1"/>
    <w:link w:val="19"/>
    <w:autoRedefine/>
    <w:semiHidden/>
    <w:unhideWhenUsed/>
    <w:qFormat/>
    <w:uiPriority w:val="99"/>
    <w:rPr>
      <w:sz w:val="18"/>
      <w:szCs w:val="18"/>
    </w:rPr>
  </w:style>
  <w:style w:type="paragraph" w:styleId="7">
    <w:name w:val="footer"/>
    <w:basedOn w:val="1"/>
    <w:link w:val="22"/>
    <w:autoRedefine/>
    <w:unhideWhenUsed/>
    <w:qFormat/>
    <w:uiPriority w:val="99"/>
    <w:pPr>
      <w:tabs>
        <w:tab w:val="center" w:pos="4153"/>
        <w:tab w:val="right" w:pos="8306"/>
      </w:tabs>
      <w:snapToGrid w:val="0"/>
      <w:jc w:val="left"/>
    </w:pPr>
    <w:rPr>
      <w:sz w:val="18"/>
      <w:szCs w:val="18"/>
    </w:rPr>
  </w:style>
  <w:style w:type="paragraph" w:styleId="8">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spacing w:before="100" w:beforeAutospacing="1" w:after="100" w:afterAutospacing="1"/>
      <w:jc w:val="left"/>
    </w:pPr>
    <w:rPr>
      <w:kern w:val="0"/>
      <w:sz w:val="24"/>
    </w:rPr>
  </w:style>
  <w:style w:type="table" w:styleId="11">
    <w:name w:val="Table Grid"/>
    <w:basedOn w:val="10"/>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autoRedefine/>
    <w:unhideWhenUsed/>
    <w:qFormat/>
    <w:uiPriority w:val="99"/>
    <w:rPr>
      <w:color w:val="0000FF"/>
      <w:u w:val="single"/>
    </w:rPr>
  </w:style>
  <w:style w:type="character" w:customStyle="1" w:styleId="14">
    <w:name w:val="正文文本缩进 字符"/>
    <w:basedOn w:val="12"/>
    <w:link w:val="4"/>
    <w:autoRedefine/>
    <w:qFormat/>
    <w:uiPriority w:val="0"/>
    <w:rPr>
      <w:rFonts w:ascii="Calibri" w:hAnsi="Calibri" w:eastAsia="宋体" w:cs="Times New Roman"/>
      <w:bCs/>
      <w:kern w:val="0"/>
      <w:sz w:val="28"/>
      <w:szCs w:val="20"/>
    </w:rPr>
  </w:style>
  <w:style w:type="paragraph" w:styleId="15">
    <w:name w:val="List Paragraph"/>
    <w:basedOn w:val="1"/>
    <w:autoRedefine/>
    <w:qFormat/>
    <w:uiPriority w:val="99"/>
    <w:pPr>
      <w:ind w:firstLine="420" w:firstLineChars="200"/>
    </w:pPr>
  </w:style>
  <w:style w:type="paragraph" w:customStyle="1" w:styleId="16">
    <w:name w:val="列出段落1"/>
    <w:basedOn w:val="1"/>
    <w:autoRedefine/>
    <w:qFormat/>
    <w:uiPriority w:val="99"/>
    <w:pPr>
      <w:ind w:firstLine="420" w:firstLineChars="200"/>
    </w:pPr>
    <w:rPr>
      <w:rFonts w:cs="Calibri"/>
      <w:szCs w:val="21"/>
    </w:rPr>
  </w:style>
  <w:style w:type="character" w:customStyle="1" w:styleId="17">
    <w:name w:val="批注文字 字符"/>
    <w:basedOn w:val="12"/>
    <w:link w:val="3"/>
    <w:autoRedefine/>
    <w:semiHidden/>
    <w:qFormat/>
    <w:uiPriority w:val="99"/>
    <w:rPr>
      <w:rFonts w:ascii="Calibri" w:hAnsi="Calibri" w:eastAsia="宋体" w:cs="Times New Roman"/>
      <w:szCs w:val="24"/>
    </w:rPr>
  </w:style>
  <w:style w:type="character" w:customStyle="1" w:styleId="18">
    <w:name w:val="批注主题 字符"/>
    <w:basedOn w:val="17"/>
    <w:link w:val="5"/>
    <w:autoRedefine/>
    <w:semiHidden/>
    <w:qFormat/>
    <w:uiPriority w:val="99"/>
    <w:rPr>
      <w:rFonts w:ascii="Calibri" w:hAnsi="Calibri" w:eastAsia="宋体" w:cs="Times New Roman"/>
      <w:b/>
      <w:bCs/>
      <w:szCs w:val="24"/>
    </w:rPr>
  </w:style>
  <w:style w:type="character" w:customStyle="1" w:styleId="19">
    <w:name w:val="批注框文本 字符"/>
    <w:basedOn w:val="12"/>
    <w:link w:val="6"/>
    <w:autoRedefine/>
    <w:semiHidden/>
    <w:qFormat/>
    <w:uiPriority w:val="99"/>
    <w:rPr>
      <w:rFonts w:ascii="Calibri" w:hAnsi="Calibri" w:eastAsia="宋体" w:cs="Times New Roman"/>
      <w:sz w:val="18"/>
      <w:szCs w:val="18"/>
    </w:rPr>
  </w:style>
  <w:style w:type="character" w:customStyle="1" w:styleId="20">
    <w:name w:val="标题 2 字符"/>
    <w:basedOn w:val="12"/>
    <w:link w:val="2"/>
    <w:autoRedefine/>
    <w:qFormat/>
    <w:uiPriority w:val="9"/>
    <w:rPr>
      <w:rFonts w:ascii="宋体" w:hAnsi="宋体" w:eastAsia="宋体" w:cs="宋体"/>
      <w:b/>
      <w:bCs/>
      <w:kern w:val="0"/>
      <w:sz w:val="36"/>
      <w:szCs w:val="36"/>
    </w:rPr>
  </w:style>
  <w:style w:type="character" w:customStyle="1" w:styleId="21">
    <w:name w:val="页眉 字符"/>
    <w:basedOn w:val="12"/>
    <w:link w:val="8"/>
    <w:autoRedefine/>
    <w:qFormat/>
    <w:uiPriority w:val="99"/>
    <w:rPr>
      <w:rFonts w:ascii="Calibri" w:hAnsi="Calibri" w:eastAsia="宋体" w:cs="Times New Roman"/>
      <w:sz w:val="18"/>
      <w:szCs w:val="18"/>
    </w:rPr>
  </w:style>
  <w:style w:type="character" w:customStyle="1" w:styleId="22">
    <w:name w:val="页脚 字符"/>
    <w:basedOn w:val="12"/>
    <w:link w:val="7"/>
    <w:autoRedefine/>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1722B-A958-4EC4-8C34-E7E7EDE3212F}">
  <ds:schemaRefs/>
</ds:datastoreItem>
</file>

<file path=docProps/app.xml><?xml version="1.0" encoding="utf-8"?>
<Properties xmlns="http://schemas.openxmlformats.org/officeDocument/2006/extended-properties" xmlns:vt="http://schemas.openxmlformats.org/officeDocument/2006/docPropsVTypes">
  <Template>Normal</Template>
  <Pages>5</Pages>
  <Words>636</Words>
  <Characters>3626</Characters>
  <Lines>30</Lines>
  <Paragraphs>8</Paragraphs>
  <TotalTime>0</TotalTime>
  <ScaleCrop>false</ScaleCrop>
  <LinksUpToDate>false</LinksUpToDate>
  <CharactersWithSpaces>4254</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2024-01-05T07:09:00Z</dcterms:created>
  <dc:creator>Windows 用户</dc:creator>
  <cp:lastModifiedBy>小昭</cp:lastModifiedBy>
  <cp:lastPrinted>2024-01-11T11:26:00Z</cp:lastPrinted>
  <dcterms:modified xsi:type="dcterms:W3CDTF">2024-01-12T02:52:24Z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56B8B65DF0084A36B9A58C82173B69FB_13</vt:lpwstr>
  </property>
</Properties>
</file>