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80" w:rsidRDefault="00B85180" w:rsidP="00B85180">
      <w:pPr>
        <w:spacing w:line="560" w:lineRule="exact"/>
        <w:rPr>
          <w:rFonts w:ascii="黑体" w:eastAsia="黑体" w:hAnsi="宋体" w:cs="宋体"/>
          <w:kern w:val="0"/>
          <w:sz w:val="32"/>
          <w:szCs w:val="32"/>
        </w:rPr>
      </w:pPr>
      <w:r>
        <w:rPr>
          <w:rFonts w:ascii="黑体" w:eastAsia="黑体" w:hAnsi="宋体" w:cs="宋体" w:hint="eastAsia"/>
          <w:kern w:val="0"/>
          <w:sz w:val="32"/>
          <w:szCs w:val="32"/>
        </w:rPr>
        <w:t>附件1</w:t>
      </w:r>
    </w:p>
    <w:p w:rsidR="00B85180" w:rsidRDefault="00B85180" w:rsidP="00B85180">
      <w:pPr>
        <w:spacing w:line="560" w:lineRule="exact"/>
        <w:jc w:val="center"/>
        <w:rPr>
          <w:rFonts w:ascii="宋体" w:hAnsi="宋体" w:cs="宋体"/>
          <w:kern w:val="0"/>
          <w:sz w:val="24"/>
        </w:rPr>
      </w:pPr>
      <w:r>
        <w:rPr>
          <w:rFonts w:ascii="方正小标宋_GBK" w:eastAsia="方正小标宋_GBK" w:hAnsi="宋体" w:cs="宋体" w:hint="eastAsia"/>
          <w:kern w:val="0"/>
          <w:sz w:val="36"/>
          <w:szCs w:val="36"/>
        </w:rPr>
        <w:t>部门整体支出绩效评价指标表</w:t>
      </w:r>
    </w:p>
    <w:tbl>
      <w:tblPr>
        <w:tblW w:w="0" w:type="auto"/>
        <w:jc w:val="center"/>
        <w:tblLayout w:type="fixed"/>
        <w:tblLook w:val="0000"/>
      </w:tblPr>
      <w:tblGrid>
        <w:gridCol w:w="518"/>
        <w:gridCol w:w="416"/>
        <w:gridCol w:w="677"/>
        <w:gridCol w:w="416"/>
        <w:gridCol w:w="1015"/>
        <w:gridCol w:w="416"/>
        <w:gridCol w:w="3016"/>
        <w:gridCol w:w="3489"/>
        <w:gridCol w:w="637"/>
      </w:tblGrid>
      <w:tr w:rsidR="00B85180" w:rsidTr="00406DD3">
        <w:trPr>
          <w:tblHeader/>
          <w:jc w:val="center"/>
        </w:trPr>
        <w:tc>
          <w:tcPr>
            <w:tcW w:w="518" w:type="dxa"/>
            <w:tcBorders>
              <w:top w:val="single" w:sz="4" w:space="0" w:color="auto"/>
              <w:left w:val="single" w:sz="4" w:space="0" w:color="auto"/>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分值</w:t>
            </w:r>
          </w:p>
        </w:tc>
        <w:tc>
          <w:tcPr>
            <w:tcW w:w="677"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分值</w:t>
            </w:r>
          </w:p>
        </w:tc>
        <w:tc>
          <w:tcPr>
            <w:tcW w:w="1015"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三级</w:t>
            </w:r>
          </w:p>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指标</w:t>
            </w:r>
          </w:p>
        </w:tc>
        <w:tc>
          <w:tcPr>
            <w:tcW w:w="416"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分值</w:t>
            </w:r>
          </w:p>
        </w:tc>
        <w:tc>
          <w:tcPr>
            <w:tcW w:w="3016"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评价标准</w:t>
            </w:r>
          </w:p>
        </w:tc>
        <w:tc>
          <w:tcPr>
            <w:tcW w:w="3489"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得分</w:t>
            </w:r>
          </w:p>
        </w:tc>
      </w:tr>
      <w:tr w:rsidR="00B85180" w:rsidTr="00406DD3">
        <w:trPr>
          <w:trHeight w:val="1814"/>
          <w:jc w:val="center"/>
        </w:trPr>
        <w:tc>
          <w:tcPr>
            <w:tcW w:w="518" w:type="dxa"/>
            <w:vMerge w:val="restart"/>
            <w:tcBorders>
              <w:top w:val="nil"/>
              <w:left w:val="single" w:sz="4" w:space="0" w:color="auto"/>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投入</w:t>
            </w: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677" w:type="dxa"/>
            <w:vMerge w:val="restart"/>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在职人员控制率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016" w:type="dxa"/>
            <w:tcBorders>
              <w:top w:val="nil"/>
              <w:left w:val="nil"/>
              <w:bottom w:val="nil"/>
              <w:right w:val="nil"/>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以100%为标准。在职人员控制率</w:t>
            </w:r>
            <w:r>
              <w:rPr>
                <w:rFonts w:ascii="宋体" w:hAnsi="宋体" w:cs="宋体" w:hint="eastAsia"/>
                <w:kern w:val="0"/>
                <w:sz w:val="20"/>
                <w:szCs w:val="20"/>
              </w:rPr>
              <w:t>≦</w:t>
            </w:r>
            <w:r>
              <w:rPr>
                <w:rFonts w:ascii="仿宋_GB2312" w:eastAsia="仿宋_GB2312" w:hAnsi="宋体" w:cs="宋体" w:hint="eastAsia"/>
                <w:kern w:val="0"/>
                <w:sz w:val="20"/>
                <w:szCs w:val="20"/>
              </w:rPr>
              <w:t>100%，计5分；每超过一个百分点扣0.5分，扣完为止。</w:t>
            </w:r>
          </w:p>
        </w:tc>
        <w:tc>
          <w:tcPr>
            <w:tcW w:w="3489" w:type="dxa"/>
            <w:tcBorders>
              <w:top w:val="nil"/>
              <w:left w:val="single" w:sz="4" w:space="0" w:color="auto"/>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在职人员控制率=（在职人员数/编制数）×100%，在职人员数：部门（单位）实际在职人数，以财政厅确定的部门决算编制口径为准。</w:t>
            </w:r>
            <w:r>
              <w:rPr>
                <w:rFonts w:ascii="仿宋_GB2312" w:eastAsia="仿宋_GB2312" w:hAnsi="宋体" w:cs="宋体" w:hint="eastAsia"/>
                <w:kern w:val="0"/>
                <w:sz w:val="20"/>
                <w:szCs w:val="20"/>
              </w:rPr>
              <w:br/>
              <w:t>编制数：机构编制部门核定批复的部门（单位）的人员编制数。</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5</w:t>
            </w:r>
          </w:p>
        </w:tc>
      </w:tr>
      <w:tr w:rsidR="00B85180" w:rsidTr="00406DD3">
        <w:trPr>
          <w:jc w:val="center"/>
        </w:trPr>
        <w:tc>
          <w:tcPr>
            <w:tcW w:w="518" w:type="dxa"/>
            <w:vMerge/>
            <w:tcBorders>
              <w:top w:val="nil"/>
              <w:left w:val="single" w:sz="4" w:space="0" w:color="auto"/>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016" w:type="dxa"/>
            <w:tcBorders>
              <w:top w:val="single" w:sz="4" w:space="0" w:color="auto"/>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宋体" w:hAnsi="宋体" w:cs="宋体" w:hint="eastAsia"/>
                <w:kern w:val="0"/>
                <w:sz w:val="20"/>
                <w:szCs w:val="20"/>
              </w:rPr>
              <w:t>≦</w:t>
            </w:r>
            <w:r>
              <w:rPr>
                <w:rFonts w:ascii="仿宋_GB2312" w:eastAsia="仿宋_GB2312" w:hAnsi="宋体" w:cs="宋体" w:hint="eastAsia"/>
                <w:kern w:val="0"/>
                <w:sz w:val="20"/>
                <w:szCs w:val="20"/>
              </w:rPr>
              <w:t>0,计8分；“三公经费”＞0，每超过一个百分点扣0.8分，扣完为止。</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“三公经费”变动率=[（本年度“三公经费”预算数-上年度“三公经费”预算数）/上年度“三公经费”预算数]×100%</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8</w:t>
            </w:r>
          </w:p>
        </w:tc>
      </w:tr>
      <w:tr w:rsidR="00B85180" w:rsidTr="00406DD3">
        <w:trPr>
          <w:jc w:val="center"/>
        </w:trPr>
        <w:tc>
          <w:tcPr>
            <w:tcW w:w="518"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61</w:t>
            </w:r>
          </w:p>
        </w:tc>
        <w:tc>
          <w:tcPr>
            <w:tcW w:w="677"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100%计满分，每低于5%扣2分，扣完为止。</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预算完成率=（上年结转+年初预算+本年追加预算-年末结余）/（上年结转+年初预算+本年追加预算）×100%。</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4.5</w:t>
            </w:r>
          </w:p>
        </w:tc>
      </w:tr>
      <w:tr w:rsidR="00B85180" w:rsidTr="00406DD3">
        <w:trPr>
          <w:trHeight w:val="1273"/>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预算控制率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预算控制率=0，计5分；0-10%（含），计4分；10-20%（含），计3分；20-30%（含），计2分；大于30%不得分。</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预算控制率=（本年追加预算/年初预算）×100%。</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5</w:t>
            </w:r>
          </w:p>
        </w:tc>
      </w:tr>
      <w:tr w:rsidR="00B85180" w:rsidTr="00406DD3">
        <w:trPr>
          <w:trHeight w:val="1160"/>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新建楼堂馆所面积控制率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100%以下（含）计满分，每超出5%扣2分，扣完为止。没有楼堂馆所项目的部门按满分计算。</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楼堂馆所面积控制率=实际建设面积/批准建设面积×100% 。</w:t>
            </w:r>
            <w:r>
              <w:rPr>
                <w:rFonts w:ascii="仿宋_GB2312" w:eastAsia="仿宋_GB2312" w:hAnsi="宋体" w:cs="宋体" w:hint="eastAsia"/>
                <w:kern w:val="0"/>
                <w:sz w:val="20"/>
                <w:szCs w:val="20"/>
              </w:rPr>
              <w:br/>
              <w:t>该指标以2015年完工的新建楼堂馆所为评价内容。</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5</w:t>
            </w:r>
          </w:p>
        </w:tc>
      </w:tr>
      <w:tr w:rsidR="00B85180" w:rsidTr="00406DD3">
        <w:trPr>
          <w:trHeight w:val="1543"/>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新建楼堂馆所投资概算控制率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100%以下（含）计满分，每超出5%扣2分，扣完为止。</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楼堂馆所投资预算控制率=实际投资金额/批准投资金额×100% 。</w:t>
            </w:r>
            <w:r>
              <w:rPr>
                <w:rFonts w:ascii="仿宋_GB2312" w:eastAsia="仿宋_GB2312" w:hAnsi="宋体" w:cs="宋体" w:hint="eastAsia"/>
                <w:kern w:val="0"/>
                <w:sz w:val="20"/>
                <w:szCs w:val="20"/>
              </w:rPr>
              <w:br/>
              <w:t>该指标以2015年完工的新建楼堂馆所为评价内容。</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5</w:t>
            </w:r>
          </w:p>
        </w:tc>
      </w:tr>
      <w:tr w:rsidR="00B85180" w:rsidTr="00406DD3">
        <w:trPr>
          <w:trHeight w:val="1562"/>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公用经费控制率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100%以下（含）计满分，每超出1%扣1分，扣完为止。</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公用经费控制率=（实际支出公用经费总额/预算安排公用经费总额）×100%。</w:t>
            </w:r>
            <w:r>
              <w:rPr>
                <w:rFonts w:ascii="仿宋_GB2312" w:eastAsia="仿宋_GB2312" w:hAnsi="宋体" w:cs="宋体" w:hint="eastAsia"/>
                <w:kern w:val="0"/>
                <w:sz w:val="20"/>
                <w:szCs w:val="20"/>
              </w:rPr>
              <w:br/>
              <w:t>公用经费支出是指部门基本支出中的一般商品和服务支出。</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8</w:t>
            </w:r>
          </w:p>
        </w:tc>
      </w:tr>
      <w:tr w:rsidR="00B85180" w:rsidTr="00406DD3">
        <w:trPr>
          <w:trHeight w:val="1073"/>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100%以下（含）计满分，每超出1%扣1分，扣完为止。</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8</w:t>
            </w:r>
          </w:p>
        </w:tc>
      </w:tr>
      <w:tr w:rsidR="00B85180" w:rsidTr="00406DD3">
        <w:trPr>
          <w:trHeight w:val="918"/>
          <w:jc w:val="center"/>
        </w:trPr>
        <w:tc>
          <w:tcPr>
            <w:tcW w:w="518" w:type="dxa"/>
            <w:vMerge/>
            <w:tcBorders>
              <w:top w:val="nil"/>
              <w:left w:val="single" w:sz="4" w:space="0" w:color="auto"/>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100%计满分，每超过（降低）5%扣2分。扣完为止。</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政府采购执行率=（实际政府采购金额/政府采购预算数）×100%</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6</w:t>
            </w:r>
          </w:p>
        </w:tc>
      </w:tr>
      <w:tr w:rsidR="00B85180" w:rsidTr="00406DD3">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B85180" w:rsidRDefault="00B85180" w:rsidP="00406DD3">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B85180" w:rsidRDefault="00B85180" w:rsidP="00406DD3">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61</w:t>
            </w:r>
          </w:p>
        </w:tc>
        <w:tc>
          <w:tcPr>
            <w:tcW w:w="677" w:type="dxa"/>
            <w:vMerge w:val="restart"/>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管理制度健全性</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①有内部财务管理制度、会计核算制度等管理制度，2分；</w:t>
            </w:r>
            <w:r>
              <w:rPr>
                <w:rFonts w:ascii="仿宋_GB2312" w:eastAsia="仿宋_GB2312" w:hAnsi="宋体" w:cs="宋体" w:hint="eastAsia"/>
                <w:kern w:val="0"/>
                <w:sz w:val="20"/>
                <w:szCs w:val="20"/>
              </w:rPr>
              <w:br/>
              <w:t>②有本部门厉行节约制度,2分；</w:t>
            </w:r>
            <w:r>
              <w:rPr>
                <w:rFonts w:ascii="仿宋_GB2312" w:eastAsia="仿宋_GB2312" w:hAnsi="宋体" w:cs="宋体" w:hint="eastAsia"/>
                <w:kern w:val="0"/>
                <w:sz w:val="20"/>
                <w:szCs w:val="20"/>
              </w:rPr>
              <w:br/>
              <w:t>③相关管理制度合法、合规、完整，2分；④相关管理制度得到有效执行，2分。</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8</w:t>
            </w:r>
          </w:p>
        </w:tc>
      </w:tr>
      <w:tr w:rsidR="00B85180" w:rsidTr="00406DD3">
        <w:trPr>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资金使用合规性</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_GB2312" w:eastAsia="仿宋_GB2312" w:hAnsi="宋体" w:cs="宋体" w:hint="eastAsia"/>
                <w:kern w:val="0"/>
                <w:sz w:val="20"/>
                <w:szCs w:val="20"/>
              </w:rPr>
              <w:br/>
              <w:t>以上情况每出现一例不符合要求</w:t>
            </w:r>
            <w:r>
              <w:rPr>
                <w:rFonts w:ascii="仿宋_GB2312" w:eastAsia="仿宋_GB2312" w:hAnsi="宋体" w:cs="宋体" w:hint="eastAsia"/>
                <w:kern w:val="0"/>
                <w:sz w:val="20"/>
                <w:szCs w:val="20"/>
              </w:rPr>
              <w:lastRenderedPageBreak/>
              <w:t>的扣1分，扣完为止。</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 xml:space="preserve">　</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6</w:t>
            </w:r>
          </w:p>
        </w:tc>
      </w:tr>
      <w:tr w:rsidR="00B85180" w:rsidTr="00406DD3">
        <w:trPr>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5</w:t>
            </w:r>
          </w:p>
        </w:tc>
      </w:tr>
      <w:tr w:rsidR="00B85180" w:rsidTr="00406DD3">
        <w:trPr>
          <w:jc w:val="center"/>
        </w:trPr>
        <w:tc>
          <w:tcPr>
            <w:tcW w:w="518"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产出及效率</w:t>
            </w: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677"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015" w:type="dxa"/>
            <w:tcBorders>
              <w:top w:val="nil"/>
              <w:left w:val="nil"/>
              <w:bottom w:val="nil"/>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重点工作实际完成率</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根据绩效办2015年对各部门为民办实事和部门重点工程与重点工作考核分数折算。</w:t>
            </w:r>
            <w:r>
              <w:rPr>
                <w:rFonts w:ascii="仿宋_GB2312" w:eastAsia="仿宋_GB2312" w:hAnsi="宋体" w:cs="宋体" w:hint="eastAsia"/>
                <w:kern w:val="0"/>
                <w:sz w:val="20"/>
                <w:szCs w:val="20"/>
              </w:rPr>
              <w:br/>
              <w:t>该项得分=（绩效办对应部分考核得分/350）*8</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8</w:t>
            </w:r>
          </w:p>
        </w:tc>
      </w:tr>
      <w:tr w:rsidR="00B85180" w:rsidTr="00406DD3">
        <w:trPr>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 效益</w:t>
            </w: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015"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经济效益</w:t>
            </w:r>
          </w:p>
        </w:tc>
        <w:tc>
          <w:tcPr>
            <w:tcW w:w="416" w:type="dxa"/>
            <w:vMerge w:val="restart"/>
            <w:tcBorders>
              <w:top w:val="nil"/>
              <w:left w:val="single" w:sz="4" w:space="0" w:color="auto"/>
              <w:bottom w:val="nil"/>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6505" w:type="dxa"/>
            <w:gridSpan w:val="2"/>
            <w:vMerge w:val="restart"/>
            <w:tcBorders>
              <w:top w:val="single" w:sz="4" w:space="0" w:color="auto"/>
              <w:left w:val="single" w:sz="4" w:space="0" w:color="auto"/>
              <w:bottom w:val="nil"/>
              <w:right w:val="single" w:sz="4" w:space="0" w:color="000000"/>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3</w:t>
            </w:r>
          </w:p>
        </w:tc>
      </w:tr>
      <w:tr w:rsidR="00B85180" w:rsidTr="00406DD3">
        <w:trPr>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社会效益</w:t>
            </w:r>
          </w:p>
        </w:tc>
        <w:tc>
          <w:tcPr>
            <w:tcW w:w="416" w:type="dxa"/>
            <w:vMerge/>
            <w:tcBorders>
              <w:top w:val="nil"/>
              <w:left w:val="single" w:sz="4" w:space="0" w:color="auto"/>
              <w:bottom w:val="nil"/>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505" w:type="dxa"/>
            <w:gridSpan w:val="2"/>
            <w:vMerge/>
            <w:tcBorders>
              <w:top w:val="single" w:sz="4" w:space="0" w:color="auto"/>
              <w:left w:val="single" w:sz="4" w:space="0" w:color="auto"/>
              <w:bottom w:val="nil"/>
              <w:right w:val="single" w:sz="4" w:space="0" w:color="000000"/>
            </w:tcBorders>
            <w:vAlign w:val="center"/>
          </w:tcPr>
          <w:p w:rsidR="00B85180" w:rsidRDefault="00B85180" w:rsidP="00406DD3">
            <w:pPr>
              <w:widowControl/>
              <w:jc w:val="left"/>
              <w:rPr>
                <w:rFonts w:ascii="仿宋_GB2312" w:eastAsia="仿宋_GB2312" w:hAnsi="宋体" w:cs="宋体"/>
                <w:kern w:val="0"/>
                <w:sz w:val="20"/>
                <w:szCs w:val="20"/>
              </w:rPr>
            </w:pPr>
          </w:p>
        </w:tc>
        <w:tc>
          <w:tcPr>
            <w:tcW w:w="637" w:type="dxa"/>
            <w:tcBorders>
              <w:top w:val="nil"/>
              <w:left w:val="nil"/>
              <w:bottom w:val="nil"/>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3</w:t>
            </w:r>
          </w:p>
        </w:tc>
      </w:tr>
      <w:tr w:rsidR="00B85180" w:rsidTr="00406DD3">
        <w:trPr>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lastRenderedPageBreak/>
              <w:t>2</w:t>
            </w: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行政效</w:t>
            </w:r>
            <w:r>
              <w:rPr>
                <w:rFonts w:ascii="仿宋_GB2312" w:eastAsia="仿宋_GB2312" w:hAnsi="宋体" w:cs="宋体" w:hint="eastAsia"/>
                <w:kern w:val="0"/>
                <w:sz w:val="20"/>
                <w:szCs w:val="20"/>
              </w:rPr>
              <w:lastRenderedPageBreak/>
              <w:t>能</w:t>
            </w:r>
          </w:p>
        </w:tc>
        <w:tc>
          <w:tcPr>
            <w:tcW w:w="416" w:type="dxa"/>
            <w:tcBorders>
              <w:top w:val="single" w:sz="4" w:space="0" w:color="auto"/>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6</w:t>
            </w:r>
          </w:p>
        </w:tc>
        <w:tc>
          <w:tcPr>
            <w:tcW w:w="3016" w:type="dxa"/>
            <w:tcBorders>
              <w:top w:val="single" w:sz="4" w:space="0" w:color="auto"/>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促进部门改进文风会风，加强经</w:t>
            </w:r>
            <w:r>
              <w:rPr>
                <w:rFonts w:ascii="仿宋_GB2312" w:eastAsia="仿宋_GB2312" w:hAnsi="宋体" w:cs="宋体" w:hint="eastAsia"/>
                <w:kern w:val="0"/>
                <w:sz w:val="20"/>
                <w:szCs w:val="20"/>
              </w:rPr>
              <w:lastRenderedPageBreak/>
              <w:t>费及资产管理，推动网上办事，提高行政效率，降低行政成本效果较好的计6分；一般3分；无效果或者效果不明显0分。</w:t>
            </w:r>
          </w:p>
        </w:tc>
        <w:tc>
          <w:tcPr>
            <w:tcW w:w="3489" w:type="dxa"/>
            <w:tcBorders>
              <w:top w:val="single" w:sz="4" w:space="0" w:color="auto"/>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根据部门自评材料评定。</w:t>
            </w:r>
          </w:p>
        </w:tc>
        <w:tc>
          <w:tcPr>
            <w:tcW w:w="637" w:type="dxa"/>
            <w:tcBorders>
              <w:top w:val="single" w:sz="4" w:space="0" w:color="auto"/>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6</w:t>
            </w:r>
          </w:p>
        </w:tc>
      </w:tr>
      <w:tr w:rsidR="00B85180" w:rsidTr="00406DD3">
        <w:trPr>
          <w:jc w:val="center"/>
        </w:trPr>
        <w:tc>
          <w:tcPr>
            <w:tcW w:w="518"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p>
        </w:tc>
        <w:tc>
          <w:tcPr>
            <w:tcW w:w="1015"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416" w:type="dxa"/>
            <w:tcBorders>
              <w:top w:val="nil"/>
              <w:left w:val="nil"/>
              <w:bottom w:val="single" w:sz="4" w:space="0" w:color="auto"/>
              <w:right w:val="single" w:sz="4" w:space="0" w:color="auto"/>
            </w:tcBorders>
            <w:vAlign w:val="center"/>
          </w:tcPr>
          <w:p w:rsidR="00B85180" w:rsidRDefault="00B85180" w:rsidP="00406DD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3016"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90%（含）以上计6分；</w:t>
            </w:r>
            <w:r>
              <w:rPr>
                <w:rFonts w:ascii="仿宋_GB2312" w:eastAsia="仿宋_GB2312" w:hAnsi="宋体" w:cs="宋体" w:hint="eastAsia"/>
                <w:kern w:val="0"/>
                <w:sz w:val="20"/>
                <w:szCs w:val="20"/>
              </w:rPr>
              <w:br/>
              <w:t>80%（含）-90%，计4分；</w:t>
            </w:r>
            <w:r>
              <w:rPr>
                <w:rFonts w:ascii="仿宋_GB2312" w:eastAsia="仿宋_GB2312" w:hAnsi="宋体" w:cs="宋体" w:hint="eastAsia"/>
                <w:kern w:val="0"/>
                <w:sz w:val="20"/>
                <w:szCs w:val="20"/>
              </w:rPr>
              <w:br/>
              <w:t>70%（含）-80%，计2分；</w:t>
            </w:r>
            <w:r>
              <w:rPr>
                <w:rFonts w:ascii="仿宋_GB2312" w:eastAsia="仿宋_GB2312" w:hAnsi="宋体" w:cs="宋体" w:hint="eastAsia"/>
                <w:kern w:val="0"/>
                <w:sz w:val="20"/>
                <w:szCs w:val="20"/>
              </w:rPr>
              <w:br/>
              <w:t>低于70%计0分。</w:t>
            </w:r>
          </w:p>
        </w:tc>
        <w:tc>
          <w:tcPr>
            <w:tcW w:w="3489" w:type="dxa"/>
            <w:tcBorders>
              <w:top w:val="nil"/>
              <w:left w:val="nil"/>
              <w:bottom w:val="single" w:sz="4" w:space="0" w:color="auto"/>
              <w:right w:val="single" w:sz="4" w:space="0" w:color="auto"/>
            </w:tcBorders>
            <w:vAlign w:val="center"/>
          </w:tcPr>
          <w:p w:rsidR="00B85180" w:rsidRDefault="00B85180" w:rsidP="00406DD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tcPr>
          <w:p w:rsidR="00B85180" w:rsidRDefault="00B85180" w:rsidP="00406DD3">
            <w:pPr>
              <w:widowControl/>
              <w:jc w:val="left"/>
              <w:rPr>
                <w:rFonts w:ascii="宋体" w:hAnsi="宋体" w:cs="宋体"/>
                <w:kern w:val="0"/>
                <w:sz w:val="24"/>
              </w:rPr>
            </w:pPr>
            <w:r>
              <w:rPr>
                <w:rFonts w:ascii="宋体" w:hAnsi="宋体" w:cs="宋体" w:hint="eastAsia"/>
                <w:kern w:val="0"/>
                <w:sz w:val="24"/>
              </w:rPr>
              <w:t xml:space="preserve">　5</w:t>
            </w:r>
          </w:p>
        </w:tc>
      </w:tr>
    </w:tbl>
    <w:p w:rsidR="00B85180" w:rsidRDefault="00B85180" w:rsidP="00B85180">
      <w:pPr>
        <w:rPr>
          <w:rFonts w:ascii="黑体" w:eastAsia="黑体"/>
          <w:sz w:val="28"/>
          <w:szCs w:val="28"/>
        </w:rPr>
      </w:pPr>
    </w:p>
    <w:p w:rsidR="00DA3CFB" w:rsidRDefault="00DA3CFB" w:rsidP="007A4511">
      <w:pPr>
        <w:spacing w:line="560" w:lineRule="exact"/>
      </w:pPr>
    </w:p>
    <w:sectPr w:rsidR="00DA3CFB" w:rsidSect="001A7D49">
      <w:footerReference w:type="default" r:id="rId7"/>
      <w:pgSz w:w="11849" w:h="16781"/>
      <w:pgMar w:top="1474" w:right="1474" w:bottom="147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64F" w:rsidRPr="00B15C03" w:rsidRDefault="00C1464F" w:rsidP="001A7D49">
      <w:pPr>
        <w:rPr>
          <w:rFonts w:ascii="Times New Roman" w:hAnsi="Times New Roman"/>
          <w:szCs w:val="24"/>
        </w:rPr>
      </w:pPr>
      <w:r>
        <w:separator/>
      </w:r>
    </w:p>
  </w:endnote>
  <w:endnote w:type="continuationSeparator" w:id="1">
    <w:p w:rsidR="00C1464F" w:rsidRPr="00B15C03" w:rsidRDefault="00C1464F" w:rsidP="001A7D49">
      <w:pPr>
        <w:rPr>
          <w:rFonts w:ascii="Times New Roman" w:hAnsi="Times New Roman"/>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仿宋_GB2312">
    <w:altName w:val="Arial Unicode MS"/>
    <w:charset w:val="86"/>
    <w:family w:val="roma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49" w:rsidRDefault="001A7D49">
    <w:pPr>
      <w:pStyle w:val="a3"/>
      <w:tabs>
        <w:tab w:val="clear" w:pos="4153"/>
        <w:tab w:val="center" w:pos="5095"/>
      </w:tabs>
      <w:jc w:val="both"/>
    </w:pPr>
    <w:r>
      <w:pict>
        <v:shapetype id="_x0000_t202" coordsize="21600,21600" o:spt="202" path="m,l,21600r21600,l21600,xe">
          <v:stroke joinstyle="miter"/>
          <v:path gradientshapeok="t" o:connecttype="rect"/>
        </v:shapetype>
        <v:shape id="文本框 6" o:spid="_x0000_s1027" type="#_x0000_t202" style="position:absolute;left:0;text-align:left;margin-left:25.2pt;margin-top:0;width:52.6pt;height:36.3pt;z-index:251662336;mso-wrap-style:none;mso-position-horizontal:outside;mso-position-horizontal-relative:margin" filled="f" stroked="f">
          <v:textbox style="mso-fit-shape-to-text:t" inset="0,0,0,0">
            <w:txbxContent>
              <w:p w:rsidR="001A7D49" w:rsidRDefault="005605C3">
                <w:pPr>
                  <w:snapToGrid w:val="0"/>
                  <w:rPr>
                    <w:rFonts w:ascii="仿宋" w:eastAsia="仿宋" w:hAnsi="仿宋" w:cs="仿宋"/>
                    <w:sz w:val="28"/>
                    <w:szCs w:val="28"/>
                  </w:rPr>
                </w:pPr>
                <w:r>
                  <w:rPr>
                    <w:rFonts w:ascii="仿宋" w:eastAsia="仿宋" w:hAnsi="仿宋" w:cs="仿宋" w:hint="eastAsia"/>
                    <w:sz w:val="28"/>
                    <w:szCs w:val="28"/>
                  </w:rPr>
                  <w:t xml:space="preserve">— </w:t>
                </w:r>
                <w:r w:rsidR="001A7D49">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1A7D49">
                  <w:rPr>
                    <w:rFonts w:ascii="仿宋" w:eastAsia="仿宋" w:hAnsi="仿宋" w:cs="仿宋" w:hint="eastAsia"/>
                    <w:sz w:val="28"/>
                    <w:szCs w:val="28"/>
                  </w:rPr>
                  <w:fldChar w:fldCharType="separate"/>
                </w:r>
                <w:r w:rsidR="007A4511" w:rsidRPr="007A4511">
                  <w:rPr>
                    <w:noProof/>
                  </w:rPr>
                  <w:t>2</w:t>
                </w:r>
                <w:r w:rsidR="001A7D49">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w:r>
    <w:r>
      <w:pict>
        <v:shape id="文本框 4" o:spid="_x0000_s1026" type="#_x0000_t202" style="position:absolute;left:0;text-align:left;margin-left:-63.7pt;margin-top:0;width:8.15pt;height:11pt;z-index:251661312;mso-wrap-style:none;mso-position-horizontal:outside;mso-position-horizontal-relative:margin" filled="f" stroked="f">
          <v:textbox style="mso-fit-shape-to-text:t" inset="0,0,0,0">
            <w:txbxContent>
              <w:p w:rsidR="001A7D49" w:rsidRDefault="001A7D49">
                <w:pPr>
                  <w:snapToGrid w:val="0"/>
                  <w:rPr>
                    <w:sz w:val="18"/>
                  </w:rPr>
                </w:pPr>
              </w:p>
            </w:txbxContent>
          </v:textbox>
          <w10:wrap anchorx="margin"/>
        </v:shape>
      </w:pict>
    </w:r>
    <w:r>
      <w:pict>
        <v:shape id="文本框 2" o:spid="_x0000_s1025" type="#_x0000_t202" style="position:absolute;left:0;text-align:left;margin-left:-70.9pt;margin-top:0;width:4.55pt;height:11pt;z-index:251660288;mso-wrap-style:none;mso-position-horizontal:outside;mso-position-horizontal-relative:margin" filled="f" stroked="f">
          <v:textbox style="mso-fit-shape-to-text:t" inset="0,0,0,0">
            <w:txbxContent>
              <w:p w:rsidR="001A7D49" w:rsidRDefault="005605C3">
                <w:pPr>
                  <w:pStyle w:val="a3"/>
                  <w:jc w:val="center"/>
                </w:pPr>
                <w:r>
                  <w:rPr>
                    <w:lang w:val="zh-CN"/>
                  </w:rPr>
                  <w:t xml:space="preserve"> </w:t>
                </w:r>
              </w:p>
            </w:txbxContent>
          </v:textbox>
          <w10:wrap anchorx="margin"/>
        </v:shape>
      </w:pict>
    </w:r>
    <w:r w:rsidR="005605C3">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64F" w:rsidRPr="00B15C03" w:rsidRDefault="00C1464F" w:rsidP="001A7D49">
      <w:pPr>
        <w:rPr>
          <w:rFonts w:ascii="Times New Roman" w:hAnsi="Times New Roman"/>
          <w:szCs w:val="24"/>
        </w:rPr>
      </w:pPr>
      <w:r>
        <w:separator/>
      </w:r>
    </w:p>
  </w:footnote>
  <w:footnote w:type="continuationSeparator" w:id="1">
    <w:p w:rsidR="00C1464F" w:rsidRPr="00B15C03" w:rsidRDefault="00C1464F" w:rsidP="001A7D49">
      <w:pPr>
        <w:rPr>
          <w:rFonts w:ascii="Times New Roman" w:hAnsi="Times New Roman"/>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43E0F"/>
    <w:multiLevelType w:val="multilevel"/>
    <w:tmpl w:val="78243E0F"/>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180"/>
    <w:rsid w:val="001A7D49"/>
    <w:rsid w:val="005605C3"/>
    <w:rsid w:val="007A4511"/>
    <w:rsid w:val="00B85180"/>
    <w:rsid w:val="00C1464F"/>
    <w:rsid w:val="00DA3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B85180"/>
    <w:rPr>
      <w:rFonts w:ascii="Calibri" w:hAnsi="Calibri"/>
      <w:sz w:val="18"/>
    </w:rPr>
  </w:style>
  <w:style w:type="paragraph" w:styleId="a3">
    <w:name w:val="footer"/>
    <w:basedOn w:val="a"/>
    <w:link w:val="Char"/>
    <w:rsid w:val="00B85180"/>
    <w:pPr>
      <w:tabs>
        <w:tab w:val="center" w:pos="4153"/>
        <w:tab w:val="right" w:pos="8306"/>
      </w:tabs>
      <w:snapToGrid w:val="0"/>
      <w:jc w:val="left"/>
    </w:pPr>
    <w:rPr>
      <w:rFonts w:eastAsiaTheme="minorEastAsia" w:cstheme="minorBidi"/>
      <w:sz w:val="18"/>
    </w:rPr>
  </w:style>
  <w:style w:type="character" w:customStyle="1" w:styleId="Char1">
    <w:name w:val="页脚 Char1"/>
    <w:basedOn w:val="a0"/>
    <w:link w:val="a3"/>
    <w:uiPriority w:val="99"/>
    <w:semiHidden/>
    <w:rsid w:val="00B85180"/>
    <w:rPr>
      <w:rFonts w:ascii="Calibri" w:eastAsia="宋体" w:hAnsi="Calibri" w:cs="Times New Roman"/>
      <w:sz w:val="18"/>
      <w:szCs w:val="18"/>
    </w:rPr>
  </w:style>
  <w:style w:type="paragraph" w:styleId="a4">
    <w:name w:val="header"/>
    <w:basedOn w:val="a"/>
    <w:link w:val="Char0"/>
    <w:uiPriority w:val="99"/>
    <w:semiHidden/>
    <w:unhideWhenUsed/>
    <w:rsid w:val="007A45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A451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2002</dc:creator>
  <cp:lastModifiedBy>2002</cp:lastModifiedBy>
  <cp:revision>2</cp:revision>
  <dcterms:created xsi:type="dcterms:W3CDTF">2016-10-31T08:55:00Z</dcterms:created>
  <dcterms:modified xsi:type="dcterms:W3CDTF">2016-10-31T08:57:00Z</dcterms:modified>
</cp:coreProperties>
</file>