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宋体" w:hAnsi="宋体" w:cs="宋体"/>
          <w:b/>
          <w:sz w:val="32"/>
          <w:szCs w:val="32"/>
        </w:rPr>
      </w:pPr>
      <w:bookmarkStart w:id="0" w:name="OLE_LINK1"/>
    </w:p>
    <w:p>
      <w:pPr>
        <w:snapToGrid w:val="0"/>
        <w:spacing w:line="360" w:lineRule="auto"/>
        <w:jc w:val="center"/>
        <w:rPr>
          <w:rFonts w:ascii="宋体" w:hAnsi="宋体" w:cs="宋体"/>
          <w:b/>
          <w:sz w:val="32"/>
          <w:szCs w:val="32"/>
        </w:rPr>
      </w:pPr>
      <w:r>
        <w:rPr>
          <w:rFonts w:hint="eastAsia" w:ascii="宋体" w:hAnsi="宋体" w:cs="宋体"/>
          <w:b/>
          <w:sz w:val="32"/>
          <w:szCs w:val="32"/>
        </w:rPr>
        <w:t>租赁经营权拍卖公告</w:t>
      </w:r>
    </w:p>
    <w:p>
      <w:pPr>
        <w:pStyle w:val="7"/>
        <w:widowControl/>
        <w:shd w:val="clear" w:color="auto" w:fill="FFFFFF"/>
        <w:spacing w:before="0" w:beforeAutospacing="0" w:after="0" w:afterAutospacing="0" w:line="400" w:lineRule="exact"/>
        <w:rPr>
          <w:rFonts w:ascii="仿宋_GB2312" w:hAnsi="仿宋_GB2312" w:eastAsia="仿宋_GB2312" w:cs="仿宋_GB2312"/>
          <w:b/>
          <w:bCs/>
          <w:shd w:val="clear" w:color="auto" w:fill="FFFFFF"/>
        </w:rPr>
      </w:pPr>
      <w:r>
        <w:rPr>
          <w:rFonts w:hint="eastAsia" w:ascii="宋体" w:hAnsi="宋体" w:cs="宋体"/>
          <w:sz w:val="28"/>
          <w:szCs w:val="28"/>
          <w:shd w:val="clear" w:color="auto" w:fill="FFFFFF"/>
        </w:rPr>
        <w:t xml:space="preserve">   </w:t>
      </w:r>
      <w:r>
        <w:rPr>
          <w:rFonts w:hint="eastAsia" w:ascii="仿宋_GB2312" w:hAnsi="仿宋_GB2312" w:eastAsia="仿宋_GB2312" w:cs="仿宋_GB2312"/>
          <w:shd w:val="clear" w:color="auto" w:fill="FFFFFF"/>
        </w:rPr>
        <w:t>受湖南省机关事务管理局委托，湖南三友拍卖有限公司定于2023年</w:t>
      </w:r>
      <w:r>
        <w:rPr>
          <w:rFonts w:hint="eastAsia" w:ascii="仿宋_GB2312" w:hAnsi="仿宋_GB2312" w:eastAsia="仿宋_GB2312" w:cs="仿宋_GB2312"/>
          <w:shd w:val="clear" w:color="auto" w:fill="FFFFFF"/>
          <w:lang w:val="en-US" w:eastAsia="zh-CN"/>
        </w:rPr>
        <w:t>5</w:t>
      </w:r>
      <w:r>
        <w:rPr>
          <w:rFonts w:hint="eastAsia" w:ascii="仿宋_GB2312" w:hAnsi="仿宋_GB2312" w:eastAsia="仿宋_GB2312" w:cs="仿宋_GB2312"/>
          <w:shd w:val="clear" w:color="auto" w:fill="FFFFFF"/>
        </w:rPr>
        <w:t>月</w:t>
      </w:r>
      <w:r>
        <w:rPr>
          <w:rFonts w:hint="eastAsia" w:ascii="仿宋_GB2312" w:hAnsi="仿宋_GB2312" w:eastAsia="仿宋_GB2312" w:cs="仿宋_GB2312"/>
          <w:shd w:val="clear" w:color="auto" w:fill="FFFFFF"/>
          <w:lang w:val="en-US" w:eastAsia="zh-CN"/>
        </w:rPr>
        <w:t>30</w:t>
      </w:r>
      <w:r>
        <w:rPr>
          <w:rFonts w:hint="eastAsia" w:ascii="仿宋_GB2312" w:hAnsi="仿宋_GB2312" w:eastAsia="仿宋_GB2312" w:cs="仿宋_GB2312"/>
          <w:shd w:val="clear" w:color="auto" w:fill="FFFFFF"/>
        </w:rPr>
        <w:t>日10:</w:t>
      </w:r>
      <w:r>
        <w:rPr>
          <w:rFonts w:hint="eastAsia" w:ascii="仿宋_GB2312" w:hAnsi="仿宋_GB2312" w:eastAsia="仿宋_GB2312" w:cs="仿宋_GB2312"/>
          <w:shd w:val="clear" w:color="auto" w:fill="FFFFFF"/>
          <w:lang w:val="en-US" w:eastAsia="zh-CN"/>
        </w:rPr>
        <w:t>0</w:t>
      </w:r>
      <w:r>
        <w:rPr>
          <w:rFonts w:hint="eastAsia" w:ascii="仿宋_GB2312" w:hAnsi="仿宋_GB2312" w:eastAsia="仿宋_GB2312" w:cs="仿宋_GB2312"/>
          <w:shd w:val="clear" w:color="auto" w:fill="FFFFFF"/>
        </w:rPr>
        <w:t xml:space="preserve">0在中拍平台（ </w:t>
      </w:r>
      <w:r>
        <w:rPr>
          <w:rFonts w:hint="eastAsia" w:ascii="仿宋_GB2312" w:hAnsi="仿宋_GB2312" w:eastAsia="仿宋_GB2312" w:cs="仿宋_GB2312"/>
          <w:shd w:val="clear" w:color="auto" w:fill="FFFFFF"/>
        </w:rPr>
        <w:fldChar w:fldCharType="begin"/>
      </w:r>
      <w:r>
        <w:rPr>
          <w:rFonts w:hint="eastAsia" w:ascii="仿宋_GB2312" w:hAnsi="仿宋_GB2312" w:eastAsia="仿宋_GB2312" w:cs="仿宋_GB2312"/>
          <w:shd w:val="clear" w:color="auto" w:fill="FFFFFF"/>
        </w:rPr>
        <w:instrText xml:space="preserve"> HYPERLINK "https://paimai.caa123.org.cn" </w:instrText>
      </w:r>
      <w:r>
        <w:rPr>
          <w:rFonts w:hint="eastAsia" w:ascii="仿宋_GB2312" w:hAnsi="仿宋_GB2312" w:eastAsia="仿宋_GB2312" w:cs="仿宋_GB2312"/>
          <w:shd w:val="clear" w:color="auto" w:fill="FFFFFF"/>
        </w:rPr>
        <w:fldChar w:fldCharType="separate"/>
      </w:r>
      <w:r>
        <w:rPr>
          <w:rFonts w:hint="eastAsia" w:ascii="仿宋_GB2312" w:hAnsi="仿宋_GB2312" w:eastAsia="仿宋_GB2312" w:cs="仿宋_GB2312"/>
          <w:shd w:val="clear" w:color="auto" w:fill="FFFFFF"/>
        </w:rPr>
        <w:t>https://paimai.caa123.org.cn</w:t>
      </w:r>
      <w:r>
        <w:rPr>
          <w:rFonts w:hint="eastAsia" w:ascii="仿宋_GB2312" w:hAnsi="仿宋_GB2312" w:eastAsia="仿宋_GB2312" w:cs="仿宋_GB2312"/>
          <w:shd w:val="clear" w:color="auto" w:fill="FFFFFF"/>
        </w:rPr>
        <w:fldChar w:fldCharType="end"/>
      </w:r>
      <w:r>
        <w:rPr>
          <w:rFonts w:hint="eastAsia" w:ascii="仿宋_GB2312" w:hAnsi="仿宋_GB2312" w:eastAsia="仿宋_GB2312" w:cs="仿宋_GB2312"/>
          <w:shd w:val="clear" w:color="auto" w:fill="FFFFFF"/>
        </w:rPr>
        <w:t xml:space="preserve">）对以下标的进行公开拍卖，现将相关事项公告如下： </w:t>
      </w:r>
    </w:p>
    <w:p>
      <w:pPr>
        <w:pStyle w:val="7"/>
        <w:widowControl/>
        <w:numPr>
          <w:ilvl w:val="0"/>
          <w:numId w:val="1"/>
        </w:numPr>
        <w:shd w:val="clear" w:color="auto" w:fill="FFFFFF"/>
        <w:spacing w:before="0" w:beforeAutospacing="0" w:after="0" w:afterAutospacing="0" w:line="400" w:lineRule="exact"/>
        <w:rPr>
          <w:rFonts w:ascii="仿宋_GB2312" w:hAnsi="仿宋_GB2312" w:eastAsia="仿宋_GB2312" w:cs="仿宋_GB2312"/>
          <w:b/>
          <w:shd w:val="clear" w:color="auto" w:fill="FFFFFF"/>
        </w:rPr>
      </w:pPr>
      <w:r>
        <w:rPr>
          <w:rFonts w:hint="eastAsia" w:ascii="仿宋_GB2312" w:hAnsi="仿宋_GB2312" w:eastAsia="仿宋_GB2312" w:cs="仿宋_GB2312"/>
          <w:b/>
          <w:shd w:val="clear" w:color="auto" w:fill="FFFFFF"/>
        </w:rPr>
        <w:t xml:space="preserve">标的基本情况 </w:t>
      </w:r>
    </w:p>
    <w:p>
      <w:pPr>
        <w:widowControl/>
        <w:shd w:val="clear" w:color="auto" w:fill="FFFFFF"/>
        <w:snapToGrid w:val="0"/>
        <w:spacing w:line="400" w:lineRule="exact"/>
        <w:ind w:firstLine="424" w:firstLineChars="177"/>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标的：长沙市芙蓉中路三段466号原省交通信息中心综合楼临街1号</w:t>
      </w:r>
      <w:r>
        <w:rPr>
          <w:rFonts w:hint="eastAsia" w:ascii="仿宋_GB2312" w:hAnsi="仿宋_GB2312" w:eastAsia="仿宋_GB2312" w:cs="仿宋_GB2312"/>
          <w:sz w:val="24"/>
          <w:shd w:val="clear" w:color="auto" w:fill="FFFFFF"/>
          <w:lang w:eastAsia="zh-CN"/>
        </w:rPr>
        <w:t>（</w:t>
      </w:r>
      <w:r>
        <w:rPr>
          <w:rFonts w:hint="eastAsia" w:ascii="仿宋_GB2312" w:hAnsi="仿宋_GB2312" w:eastAsia="仿宋_GB2312" w:cs="仿宋_GB2312"/>
          <w:sz w:val="24"/>
          <w:shd w:val="clear" w:color="auto" w:fill="FFFFFF"/>
          <w:lang w:val="en-US" w:eastAsia="zh-CN"/>
        </w:rPr>
        <w:t>现门牌号芙蓉中路三段458号）</w:t>
      </w:r>
      <w:r>
        <w:rPr>
          <w:rFonts w:hint="eastAsia" w:ascii="仿宋_GB2312" w:hAnsi="仿宋_GB2312" w:eastAsia="仿宋_GB2312" w:cs="仿宋_GB2312"/>
          <w:sz w:val="24"/>
          <w:shd w:val="clear" w:color="auto" w:fill="FFFFFF"/>
        </w:rPr>
        <w:t>门面4年租赁经营权</w:t>
      </w:r>
      <w:r>
        <w:rPr>
          <w:rFonts w:hint="eastAsia" w:ascii="仿宋_GB2312" w:hAnsi="仿宋_GB2312" w:eastAsia="仿宋_GB2312" w:cs="仿宋_GB2312"/>
          <w:sz w:val="24"/>
          <w:shd w:val="clear" w:color="auto" w:fill="FFFFFF"/>
          <w:lang w:val="en-US" w:eastAsia="zh-CN"/>
        </w:rPr>
        <w:t>项目</w:t>
      </w:r>
      <w:r>
        <w:rPr>
          <w:rFonts w:hint="eastAsia" w:ascii="仿宋_GB2312" w:hAnsi="仿宋_GB2312" w:eastAsia="仿宋_GB2312" w:cs="仿宋_GB2312"/>
          <w:sz w:val="24"/>
          <w:shd w:val="clear" w:color="auto" w:fill="FFFFFF"/>
        </w:rPr>
        <w:t>。</w:t>
      </w:r>
    </w:p>
    <w:p>
      <w:pPr>
        <w:pStyle w:val="7"/>
        <w:widowControl/>
        <w:shd w:val="clear" w:color="auto" w:fill="FFFFFF"/>
        <w:spacing w:before="0" w:beforeAutospacing="0" w:after="0" w:afterAutospacing="0" w:line="40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标的简况：</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4"/>
        <w:gridCol w:w="3415"/>
        <w:gridCol w:w="1125"/>
        <w:gridCol w:w="1395"/>
        <w:gridCol w:w="1185"/>
        <w:gridCol w:w="13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24" w:type="dxa"/>
            <w:vAlign w:val="center"/>
          </w:tcPr>
          <w:p>
            <w:pPr>
              <w:pStyle w:val="7"/>
              <w:spacing w:beforeAutospacing="0" w:afterAutospacing="0"/>
              <w:jc w:val="center"/>
              <w:rPr>
                <w:rFonts w:ascii="仿宋_GB2312" w:hAnsi="仿宋_GB2312" w:eastAsia="仿宋_GB2312" w:cs="仿宋_GB2312"/>
                <w:b/>
                <w:spacing w:val="-6"/>
              </w:rPr>
            </w:pPr>
            <w:r>
              <w:rPr>
                <w:rFonts w:hint="eastAsia" w:ascii="仿宋_GB2312" w:hAnsi="仿宋_GB2312" w:eastAsia="仿宋_GB2312" w:cs="仿宋_GB2312"/>
                <w:b/>
                <w:spacing w:val="-6"/>
              </w:rPr>
              <w:t>序号</w:t>
            </w:r>
          </w:p>
        </w:tc>
        <w:tc>
          <w:tcPr>
            <w:tcW w:w="3415" w:type="dxa"/>
            <w:vAlign w:val="center"/>
          </w:tcPr>
          <w:p>
            <w:pPr>
              <w:pStyle w:val="7"/>
              <w:spacing w:beforeAutospacing="0" w:afterAutospacing="0"/>
              <w:jc w:val="center"/>
              <w:rPr>
                <w:rFonts w:ascii="仿宋_GB2312" w:hAnsi="仿宋_GB2312" w:eastAsia="仿宋_GB2312" w:cs="仿宋_GB2312"/>
                <w:b/>
                <w:spacing w:val="-6"/>
              </w:rPr>
            </w:pPr>
            <w:r>
              <w:rPr>
                <w:rFonts w:hint="eastAsia" w:ascii="仿宋_GB2312" w:hAnsi="仿宋_GB2312" w:eastAsia="仿宋_GB2312" w:cs="仿宋_GB2312"/>
                <w:b/>
                <w:spacing w:val="-6"/>
              </w:rPr>
              <w:t>门牌号</w:t>
            </w:r>
          </w:p>
        </w:tc>
        <w:tc>
          <w:tcPr>
            <w:tcW w:w="1125" w:type="dxa"/>
            <w:vAlign w:val="center"/>
          </w:tcPr>
          <w:p>
            <w:pPr>
              <w:pStyle w:val="7"/>
              <w:spacing w:beforeAutospacing="0" w:afterAutospacing="0"/>
              <w:jc w:val="center"/>
              <w:rPr>
                <w:rFonts w:ascii="仿宋_GB2312" w:hAnsi="仿宋_GB2312" w:eastAsia="仿宋_GB2312" w:cs="仿宋_GB2312"/>
                <w:b/>
                <w:spacing w:val="-6"/>
              </w:rPr>
            </w:pPr>
            <w:r>
              <w:rPr>
                <w:rFonts w:hint="eastAsia" w:ascii="仿宋_GB2312" w:hAnsi="仿宋_GB2312" w:eastAsia="仿宋_GB2312" w:cs="仿宋_GB2312"/>
                <w:b/>
                <w:spacing w:val="-6"/>
              </w:rPr>
              <w:t>出租面积（㎡）</w:t>
            </w:r>
          </w:p>
        </w:tc>
        <w:tc>
          <w:tcPr>
            <w:tcW w:w="1395" w:type="dxa"/>
            <w:vAlign w:val="center"/>
          </w:tcPr>
          <w:p>
            <w:pPr>
              <w:pStyle w:val="7"/>
              <w:spacing w:beforeAutospacing="0" w:afterAutospacing="0"/>
              <w:jc w:val="center"/>
              <w:rPr>
                <w:rFonts w:ascii="仿宋_GB2312" w:hAnsi="仿宋_GB2312" w:eastAsia="仿宋_GB2312" w:cs="仿宋_GB2312"/>
                <w:b/>
                <w:spacing w:val="-6"/>
              </w:rPr>
            </w:pPr>
            <w:r>
              <w:rPr>
                <w:rFonts w:hint="eastAsia" w:ascii="仿宋_GB2312" w:hAnsi="仿宋_GB2312" w:eastAsia="仿宋_GB2312" w:cs="仿宋_GB2312"/>
                <w:b/>
                <w:spacing w:val="-6"/>
              </w:rPr>
              <w:t>第一年度租金起拍价（元）</w:t>
            </w:r>
          </w:p>
        </w:tc>
        <w:tc>
          <w:tcPr>
            <w:tcW w:w="1185" w:type="dxa"/>
            <w:vAlign w:val="center"/>
          </w:tcPr>
          <w:p>
            <w:pPr>
              <w:pStyle w:val="7"/>
              <w:spacing w:beforeAutospacing="0" w:afterAutospacing="0"/>
              <w:jc w:val="center"/>
              <w:rPr>
                <w:rFonts w:ascii="仿宋_GB2312" w:hAnsi="仿宋_GB2312" w:eastAsia="仿宋_GB2312" w:cs="仿宋_GB2312"/>
                <w:b/>
                <w:spacing w:val="-6"/>
              </w:rPr>
            </w:pPr>
            <w:r>
              <w:rPr>
                <w:rStyle w:val="12"/>
                <w:rFonts w:hint="eastAsia" w:ascii="仿宋_GB2312" w:hAnsi="仿宋_GB2312" w:eastAsia="仿宋_GB2312" w:cs="仿宋_GB2312"/>
                <w:spacing w:val="-6"/>
                <w:shd w:val="clear" w:color="auto" w:fill="FFFFFF"/>
              </w:rPr>
              <w:t>增价幅度（元/次）</w:t>
            </w:r>
          </w:p>
        </w:tc>
        <w:tc>
          <w:tcPr>
            <w:tcW w:w="1339" w:type="dxa"/>
            <w:vAlign w:val="center"/>
          </w:tcPr>
          <w:p>
            <w:pPr>
              <w:pStyle w:val="7"/>
              <w:spacing w:beforeAutospacing="0" w:afterAutospacing="0"/>
              <w:jc w:val="center"/>
              <w:rPr>
                <w:rStyle w:val="12"/>
                <w:rFonts w:ascii="仿宋_GB2312" w:hAnsi="仿宋_GB2312" w:eastAsia="仿宋_GB2312" w:cs="仿宋_GB2312"/>
                <w:spacing w:val="-6"/>
                <w:shd w:val="clear" w:color="auto" w:fill="FFFFFF"/>
              </w:rPr>
            </w:pPr>
            <w:r>
              <w:rPr>
                <w:rStyle w:val="12"/>
                <w:rFonts w:hint="eastAsia" w:ascii="仿宋_GB2312" w:hAnsi="仿宋_GB2312" w:eastAsia="仿宋_GB2312" w:cs="仿宋_GB2312"/>
                <w:spacing w:val="-6"/>
                <w:shd w:val="clear" w:color="auto" w:fill="FFFFFF"/>
              </w:rPr>
              <w:t>保证金</w:t>
            </w:r>
          </w:p>
          <w:p>
            <w:pPr>
              <w:pStyle w:val="7"/>
              <w:spacing w:beforeAutospacing="0" w:afterAutospacing="0"/>
              <w:jc w:val="center"/>
              <w:rPr>
                <w:rStyle w:val="12"/>
                <w:rFonts w:ascii="仿宋_GB2312" w:hAnsi="仿宋_GB2312" w:eastAsia="仿宋_GB2312" w:cs="仿宋_GB2312"/>
                <w:spacing w:val="-6"/>
                <w:shd w:val="clear" w:color="auto" w:fill="FFFFFF"/>
              </w:rPr>
            </w:pPr>
            <w:r>
              <w:rPr>
                <w:rStyle w:val="12"/>
                <w:rFonts w:hint="eastAsia" w:ascii="仿宋_GB2312" w:hAnsi="仿宋_GB2312" w:eastAsia="仿宋_GB2312" w:cs="仿宋_GB2312"/>
                <w:spacing w:val="-6"/>
                <w:shd w:val="clear" w:color="auto" w:fill="FFFFFF"/>
              </w:rPr>
              <w:t>（元）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24" w:type="dxa"/>
            <w:vAlign w:val="center"/>
          </w:tcPr>
          <w:p>
            <w:pPr>
              <w:pStyle w:val="7"/>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1</w:t>
            </w:r>
          </w:p>
        </w:tc>
        <w:tc>
          <w:tcPr>
            <w:tcW w:w="3415" w:type="dxa"/>
            <w:vAlign w:val="center"/>
          </w:tcPr>
          <w:p>
            <w:pPr>
              <w:jc w:val="center"/>
              <w:rPr>
                <w:rFonts w:hint="default" w:ascii="仿宋_GB2312" w:hAnsi="仿宋_GB2312" w:eastAsia="仿宋_GB2312" w:cs="仿宋_GB2312"/>
                <w:spacing w:val="-6"/>
                <w:kern w:val="0"/>
                <w:sz w:val="24"/>
                <w:lang w:val="en-US" w:eastAsia="zh-CN"/>
              </w:rPr>
            </w:pPr>
            <w:r>
              <w:rPr>
                <w:rFonts w:hint="eastAsia" w:ascii="仿宋_GB2312" w:hAnsi="仿宋_GB2312" w:eastAsia="仿宋_GB2312" w:cs="仿宋_GB2312"/>
                <w:spacing w:val="-6"/>
                <w:kern w:val="0"/>
                <w:sz w:val="24"/>
              </w:rPr>
              <w:t>芙蓉中路三段466号原省交通信息中心综合楼临街1号门面</w:t>
            </w:r>
          </w:p>
        </w:tc>
        <w:tc>
          <w:tcPr>
            <w:tcW w:w="1125"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22.82</w:t>
            </w:r>
          </w:p>
        </w:tc>
        <w:tc>
          <w:tcPr>
            <w:tcW w:w="1395" w:type="dxa"/>
            <w:vAlign w:val="center"/>
          </w:tcPr>
          <w:p>
            <w:pPr>
              <w:widowControl/>
              <w:jc w:val="center"/>
              <w:rPr>
                <w:rFonts w:ascii="仿宋_GB2312" w:hAnsi="仿宋_GB2312" w:eastAsia="仿宋_GB2312" w:cs="仿宋_GB2312"/>
                <w:kern w:val="0"/>
                <w:sz w:val="24"/>
              </w:rPr>
            </w:pPr>
            <w:r>
              <w:rPr>
                <w:rFonts w:hint="eastAsia" w:ascii="仿宋_GB2312" w:hAnsi="宋体" w:eastAsia="仿宋_GB2312" w:cs="仿宋_GB2312"/>
                <w:kern w:val="0"/>
                <w:sz w:val="24"/>
              </w:rPr>
              <w:t xml:space="preserve">30,150.00 </w:t>
            </w:r>
          </w:p>
        </w:tc>
        <w:tc>
          <w:tcPr>
            <w:tcW w:w="1185"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1339" w:type="dxa"/>
            <w:vAlign w:val="center"/>
          </w:tcPr>
          <w:p>
            <w:pPr>
              <w:widowControl/>
              <w:jc w:val="right"/>
              <w:textAlignment w:val="center"/>
              <w:rPr>
                <w:rFonts w:ascii="仿宋_GB2312" w:hAnsi="仿宋_GB2312" w:eastAsia="仿宋_GB2312" w:cs="仿宋_GB2312"/>
                <w:kern w:val="0"/>
                <w:sz w:val="24"/>
              </w:rPr>
            </w:pPr>
            <w:r>
              <w:rPr>
                <w:rFonts w:ascii="仿宋_GB2312" w:hAnsi="宋体" w:eastAsia="仿宋_GB2312" w:cs="仿宋_GB2312"/>
                <w:kern w:val="0"/>
                <w:sz w:val="24"/>
              </w:rPr>
              <w:t xml:space="preserve">30,200.00 </w:t>
            </w:r>
          </w:p>
        </w:tc>
      </w:tr>
    </w:tbl>
    <w:p>
      <w:pPr>
        <w:pStyle w:val="7"/>
        <w:widowControl/>
        <w:shd w:val="clear" w:color="auto" w:fill="FFFFFF"/>
        <w:spacing w:before="0" w:beforeAutospacing="0" w:after="0" w:afterAutospacing="0" w:line="400" w:lineRule="exac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第一年度租金为成交价，年租金不递增。</w:t>
      </w:r>
    </w:p>
    <w:p>
      <w:pPr>
        <w:pStyle w:val="7"/>
        <w:widowControl/>
        <w:numPr>
          <w:ilvl w:val="0"/>
          <w:numId w:val="2"/>
        </w:numPr>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拍卖会时间</w:t>
      </w:r>
      <w:r>
        <w:rPr>
          <w:rFonts w:hint="eastAsia" w:ascii="仿宋_GB2312" w:hAnsi="仿宋_GB2312" w:eastAsia="仿宋_GB2312" w:cs="仿宋_GB2312"/>
          <w:shd w:val="clear" w:color="auto" w:fill="FFFFFF"/>
        </w:rPr>
        <w:t>： 2023年</w:t>
      </w:r>
      <w:r>
        <w:rPr>
          <w:rFonts w:hint="eastAsia" w:ascii="仿宋_GB2312" w:hAnsi="仿宋_GB2312" w:eastAsia="仿宋_GB2312" w:cs="仿宋_GB2312"/>
          <w:shd w:val="clear" w:color="auto" w:fill="FFFFFF"/>
          <w:lang w:val="en-US" w:eastAsia="zh-CN"/>
        </w:rPr>
        <w:t>5</w:t>
      </w:r>
      <w:r>
        <w:rPr>
          <w:rFonts w:hint="eastAsia" w:ascii="仿宋_GB2312" w:hAnsi="仿宋_GB2312" w:eastAsia="仿宋_GB2312" w:cs="仿宋_GB2312"/>
          <w:shd w:val="clear" w:color="auto" w:fill="FFFFFF"/>
        </w:rPr>
        <w:t>月</w:t>
      </w:r>
      <w:r>
        <w:rPr>
          <w:rFonts w:hint="eastAsia" w:ascii="仿宋_GB2312" w:hAnsi="仿宋_GB2312" w:eastAsia="仿宋_GB2312" w:cs="仿宋_GB2312"/>
          <w:shd w:val="clear" w:color="auto" w:fill="FFFFFF"/>
          <w:lang w:val="en-US" w:eastAsia="zh-CN"/>
        </w:rPr>
        <w:t>30</w:t>
      </w:r>
      <w:r>
        <w:rPr>
          <w:rFonts w:hint="eastAsia" w:ascii="仿宋_GB2312" w:hAnsi="仿宋_GB2312" w:eastAsia="仿宋_GB2312" w:cs="仿宋_GB2312"/>
          <w:shd w:val="clear" w:color="auto" w:fill="FFFFFF"/>
        </w:rPr>
        <w:t>日10:</w:t>
      </w:r>
      <w:r>
        <w:rPr>
          <w:rFonts w:hint="eastAsia" w:ascii="仿宋_GB2312" w:hAnsi="仿宋_GB2312" w:eastAsia="仿宋_GB2312" w:cs="仿宋_GB2312"/>
          <w:shd w:val="clear" w:color="auto" w:fill="FFFFFF"/>
          <w:lang w:val="en-US" w:eastAsia="zh-CN"/>
        </w:rPr>
        <w:t>0</w:t>
      </w:r>
      <w:r>
        <w:rPr>
          <w:rFonts w:hint="eastAsia" w:ascii="仿宋_GB2312" w:hAnsi="仿宋_GB2312" w:eastAsia="仿宋_GB2312" w:cs="仿宋_GB2312"/>
          <w:shd w:val="clear" w:color="auto" w:fill="FFFFFF"/>
        </w:rPr>
        <w:t>0时。</w:t>
      </w:r>
    </w:p>
    <w:p>
      <w:pPr>
        <w:pStyle w:val="7"/>
        <w:widowControl/>
        <w:numPr>
          <w:ilvl w:val="0"/>
          <w:numId w:val="2"/>
        </w:numPr>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拍卖方式：</w:t>
      </w:r>
      <w:r>
        <w:rPr>
          <w:rFonts w:hint="eastAsia" w:ascii="仿宋_GB2312" w:hAnsi="仿宋_GB2312" w:eastAsia="仿宋_GB2312" w:cs="仿宋_GB2312"/>
          <w:shd w:val="clear" w:color="auto" w:fill="FFFFFF"/>
          <w:lang w:val="en-US" w:eastAsia="zh-CN"/>
        </w:rPr>
        <w:t>网络</w:t>
      </w:r>
      <w:r>
        <w:rPr>
          <w:rFonts w:hint="eastAsia" w:ascii="仿宋_GB2312" w:hAnsi="仿宋_GB2312" w:eastAsia="仿宋_GB2312" w:cs="仿宋_GB2312"/>
          <w:shd w:val="clear" w:color="auto" w:fill="FFFFFF"/>
        </w:rPr>
        <w:t xml:space="preserve">增价拍卖。 </w:t>
      </w:r>
    </w:p>
    <w:p>
      <w:pPr>
        <w:pStyle w:val="7"/>
        <w:widowControl/>
        <w:numPr>
          <w:ilvl w:val="0"/>
          <w:numId w:val="2"/>
        </w:numPr>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拍卖会地址：</w:t>
      </w:r>
      <w:r>
        <w:rPr>
          <w:rFonts w:hint="eastAsia" w:ascii="仿宋_GB2312" w:hAnsi="仿宋_GB2312" w:eastAsia="仿宋_GB2312" w:cs="仿宋_GB2312"/>
          <w:shd w:val="clear" w:color="auto" w:fill="FFFFFF"/>
        </w:rPr>
        <w:t xml:space="preserve">中拍平台（ </w:t>
      </w:r>
      <w:r>
        <w:rPr>
          <w:rFonts w:hint="eastAsia" w:ascii="仿宋_GB2312" w:hAnsi="仿宋_GB2312" w:eastAsia="仿宋_GB2312" w:cs="仿宋_GB2312"/>
          <w:shd w:val="clear" w:color="auto" w:fill="FFFFFF"/>
        </w:rPr>
        <w:fldChar w:fldCharType="begin"/>
      </w:r>
      <w:r>
        <w:rPr>
          <w:rFonts w:hint="eastAsia" w:ascii="仿宋_GB2312" w:hAnsi="仿宋_GB2312" w:eastAsia="仿宋_GB2312" w:cs="仿宋_GB2312"/>
          <w:shd w:val="clear" w:color="auto" w:fill="FFFFFF"/>
        </w:rPr>
        <w:instrText xml:space="preserve"> HYPERLINK "https://paimai.caa123.org.cn" </w:instrText>
      </w:r>
      <w:r>
        <w:rPr>
          <w:rFonts w:hint="eastAsia" w:ascii="仿宋_GB2312" w:hAnsi="仿宋_GB2312" w:eastAsia="仿宋_GB2312" w:cs="仿宋_GB2312"/>
          <w:shd w:val="clear" w:color="auto" w:fill="FFFFFF"/>
        </w:rPr>
        <w:fldChar w:fldCharType="separate"/>
      </w:r>
      <w:r>
        <w:rPr>
          <w:rFonts w:hint="eastAsia" w:ascii="仿宋_GB2312" w:hAnsi="仿宋_GB2312" w:eastAsia="仿宋_GB2312" w:cs="仿宋_GB2312"/>
          <w:shd w:val="clear" w:color="auto" w:fill="FFFFFF"/>
        </w:rPr>
        <w:t>https://paimai.caa123.org.cn</w:t>
      </w:r>
      <w:r>
        <w:rPr>
          <w:rFonts w:hint="eastAsia" w:ascii="仿宋_GB2312" w:hAnsi="仿宋_GB2312" w:eastAsia="仿宋_GB2312" w:cs="仿宋_GB2312"/>
          <w:shd w:val="clear" w:color="auto" w:fill="FFFFFF"/>
        </w:rPr>
        <w:fldChar w:fldCharType="end"/>
      </w:r>
      <w:r>
        <w:rPr>
          <w:rFonts w:hint="eastAsia" w:ascii="仿宋_GB2312" w:hAnsi="仿宋_GB2312" w:eastAsia="仿宋_GB2312" w:cs="仿宋_GB2312"/>
          <w:shd w:val="clear" w:color="auto" w:fill="FFFFFF"/>
        </w:rPr>
        <w:t>）</w:t>
      </w:r>
    </w:p>
    <w:p>
      <w:pPr>
        <w:spacing w:line="400" w:lineRule="exact"/>
        <w:rPr>
          <w:rFonts w:ascii="仿宋_GB2312" w:hAnsi="仿宋_GB2312" w:eastAsia="仿宋_GB2312" w:cs="仿宋_GB2312"/>
          <w:sz w:val="24"/>
          <w:shd w:val="clear" w:color="auto" w:fill="FFFFFF"/>
        </w:rPr>
      </w:pPr>
      <w:bookmarkStart w:id="1" w:name="_Hlk45283089"/>
      <w:r>
        <w:rPr>
          <w:rFonts w:hint="eastAsia" w:ascii="仿宋_GB2312" w:hAnsi="仿宋_GB2312" w:eastAsia="仿宋_GB2312" w:cs="仿宋_GB2312"/>
          <w:b/>
          <w:sz w:val="24"/>
          <w:shd w:val="clear" w:color="auto" w:fill="FFFFFF"/>
        </w:rPr>
        <w:t>五、报名及标的展示时间</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kern w:val="0"/>
          <w:sz w:val="24"/>
          <w:shd w:val="clear" w:color="auto" w:fill="FFFFFF"/>
        </w:rPr>
        <w:t>自公告之日起至2023</w:t>
      </w:r>
      <w:r>
        <w:rPr>
          <w:rFonts w:hint="eastAsia" w:ascii="仿宋_GB2312" w:hAnsi="仿宋_GB2312" w:eastAsia="仿宋_GB2312" w:cs="仿宋_GB2312"/>
          <w:shd w:val="clear" w:color="auto" w:fill="FFFFFF"/>
        </w:rPr>
        <w:t>年</w:t>
      </w:r>
      <w:r>
        <w:rPr>
          <w:rFonts w:hint="eastAsia" w:ascii="仿宋_GB2312" w:hAnsi="仿宋_GB2312" w:eastAsia="仿宋_GB2312" w:cs="仿宋_GB2312"/>
          <w:sz w:val="24"/>
          <w:shd w:val="clear" w:color="auto" w:fill="FFFFFF"/>
          <w:lang w:val="en-US" w:eastAsia="zh-CN"/>
        </w:rPr>
        <w:t>5</w:t>
      </w:r>
      <w:r>
        <w:rPr>
          <w:rFonts w:hint="eastAsia" w:ascii="仿宋_GB2312" w:hAnsi="仿宋_GB2312" w:eastAsia="仿宋_GB2312" w:cs="仿宋_GB2312"/>
          <w:sz w:val="24"/>
          <w:shd w:val="clear" w:color="auto" w:fill="FFFFFF"/>
        </w:rPr>
        <w:t>月</w:t>
      </w:r>
      <w:r>
        <w:rPr>
          <w:rFonts w:hint="eastAsia" w:ascii="仿宋_GB2312" w:hAnsi="仿宋_GB2312" w:eastAsia="仿宋_GB2312" w:cs="仿宋_GB2312"/>
          <w:sz w:val="24"/>
          <w:shd w:val="clear" w:color="auto" w:fill="FFFFFF"/>
          <w:lang w:val="en-US" w:eastAsia="zh-CN"/>
        </w:rPr>
        <w:t>29</w:t>
      </w:r>
      <w:r>
        <w:rPr>
          <w:rFonts w:hint="eastAsia" w:ascii="仿宋_GB2312" w:hAnsi="仿宋_GB2312" w:eastAsia="仿宋_GB2312" w:cs="仿宋_GB2312"/>
          <w:shd w:val="clear" w:color="auto" w:fill="FFFFFF"/>
        </w:rPr>
        <w:t>日</w:t>
      </w:r>
      <w:r>
        <w:rPr>
          <w:rFonts w:hint="eastAsia" w:ascii="仿宋_GB2312" w:hAnsi="仿宋_GB2312" w:eastAsia="仿宋_GB2312" w:cs="仿宋_GB2312"/>
          <w:kern w:val="0"/>
          <w:sz w:val="24"/>
          <w:shd w:val="clear" w:color="auto" w:fill="FFFFFF"/>
        </w:rPr>
        <w:t xml:space="preserve"> 9:00-16:00时（节假日除外）</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sz w:val="24"/>
          <w:shd w:val="clear" w:color="auto" w:fill="FFFFFF"/>
        </w:rPr>
        <w:br w:type="textWrapping"/>
      </w:r>
      <w:r>
        <w:rPr>
          <w:rFonts w:hint="eastAsia" w:ascii="仿宋_GB2312" w:hAnsi="仿宋_GB2312" w:eastAsia="仿宋_GB2312" w:cs="仿宋_GB2312"/>
          <w:b/>
          <w:sz w:val="24"/>
          <w:shd w:val="clear" w:color="auto" w:fill="FFFFFF"/>
        </w:rPr>
        <w:t>六、报名地址：</w:t>
      </w:r>
      <w:r>
        <w:rPr>
          <w:rFonts w:hint="eastAsia" w:ascii="仿宋_GB2312" w:hAnsi="仿宋_GB2312" w:eastAsia="仿宋_GB2312" w:cs="仿宋_GB2312"/>
          <w:kern w:val="0"/>
          <w:sz w:val="24"/>
          <w:shd w:val="clear" w:color="auto" w:fill="FFFFFF"/>
        </w:rPr>
        <w:t>长沙市湘春路199号东宸公寓601室。</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七、展示地点：</w:t>
      </w:r>
      <w:r>
        <w:rPr>
          <w:rFonts w:hint="eastAsia" w:ascii="仿宋_GB2312" w:hAnsi="仿宋_GB2312" w:eastAsia="仿宋_GB2312" w:cs="仿宋_GB2312"/>
        </w:rPr>
        <w:t>标的所在地</w:t>
      </w:r>
      <w:r>
        <w:rPr>
          <w:rFonts w:hint="eastAsia" w:ascii="仿宋_GB2312" w:hAnsi="仿宋_GB2312" w:eastAsia="仿宋_GB2312" w:cs="仿宋_GB2312"/>
          <w:shd w:val="clear" w:color="auto" w:fill="FFFFFF"/>
        </w:rPr>
        <w:t>。</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八、保证金</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1、竞买保证金与标的一一对应。</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竞买人应在转账时备注“XX路XX号</w:t>
      </w:r>
      <w:r>
        <w:rPr>
          <w:rFonts w:hint="eastAsia" w:ascii="仿宋_GB2312" w:hAnsi="仿宋_GB2312" w:eastAsia="仿宋_GB2312" w:cs="仿宋_GB2312"/>
          <w:shd w:val="clear" w:color="auto" w:fill="FFFFFF"/>
          <w:lang w:val="en-US" w:eastAsia="zh-CN"/>
        </w:rPr>
        <w:t>租赁权</w:t>
      </w:r>
      <w:r>
        <w:rPr>
          <w:rFonts w:hint="eastAsia" w:ascii="仿宋_GB2312" w:hAnsi="仿宋_GB2312" w:eastAsia="仿宋_GB2312" w:cs="仿宋_GB2312"/>
          <w:shd w:val="clear" w:color="auto" w:fill="FFFFFF"/>
        </w:rPr>
        <w:t>”。</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2、保证金收款账户：</w:t>
      </w:r>
    </w:p>
    <w:p>
      <w:pPr>
        <w:pStyle w:val="7"/>
        <w:shd w:val="clear" w:color="auto" w:fill="FFFFFF"/>
        <w:spacing w:before="0" w:beforeAutospacing="0" w:after="0" w:afterAutospacing="0" w:line="380" w:lineRule="exact"/>
        <w:ind w:firstLine="482" w:firstLineChars="200"/>
        <w:rPr>
          <w:rFonts w:hint="eastAsia"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收款人：</w:t>
      </w:r>
      <w:r>
        <w:rPr>
          <w:rFonts w:hint="eastAsia" w:ascii="仿宋_GB2312" w:hAnsi="仿宋_GB2312" w:eastAsia="仿宋_GB2312" w:cs="仿宋_GB2312"/>
          <w:b/>
          <w:bCs/>
          <w:shd w:val="clear" w:color="auto" w:fill="FFFFFF"/>
          <w:lang w:val="en-US" w:eastAsia="zh-CN"/>
        </w:rPr>
        <w:t>湖南省公共资源交易中心国有资产处置保证金户</w:t>
      </w:r>
    </w:p>
    <w:p>
      <w:pPr>
        <w:pStyle w:val="7"/>
        <w:shd w:val="clear" w:color="auto" w:fill="FFFFFF"/>
        <w:tabs>
          <w:tab w:val="left" w:pos="900"/>
          <w:tab w:val="left" w:pos="1080"/>
        </w:tabs>
        <w:spacing w:before="0" w:beforeAutospacing="0" w:after="0" w:afterAutospacing="0" w:line="380" w:lineRule="exact"/>
        <w:ind w:firstLine="482" w:firstLineChars="200"/>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开户行： 中国农业银行长沙芙蓉区支行</w:t>
      </w:r>
    </w:p>
    <w:p>
      <w:pPr>
        <w:pStyle w:val="7"/>
        <w:shd w:val="clear" w:color="auto" w:fill="FFFFFF"/>
        <w:spacing w:before="0" w:beforeAutospacing="0" w:after="0" w:afterAutospacing="0" w:line="380" w:lineRule="exact"/>
        <w:ind w:firstLine="482" w:firstLineChars="200"/>
        <w:rPr>
          <w:rFonts w:hint="eastAsia"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账  号：</w:t>
      </w:r>
      <w:r>
        <w:rPr>
          <w:rFonts w:hint="eastAsia" w:ascii="仿宋_GB2312" w:hAnsi="仿宋_GB2312" w:eastAsia="仿宋_GB2312" w:cs="仿宋_GB2312"/>
          <w:b/>
          <w:bCs/>
          <w:shd w:val="clear" w:color="auto" w:fill="FFFFFF"/>
          <w:lang w:val="en-US" w:eastAsia="zh-CN"/>
        </w:rPr>
        <w:t>18061901040011822000000000</w:t>
      </w:r>
      <w:r>
        <w:rPr>
          <w:rFonts w:hint="eastAsia" w:ascii="仿宋_GB2312" w:hAnsi="仿宋_GB2312" w:eastAsia="仿宋_GB2312" w:cs="仿宋_GB2312"/>
          <w:shd w:val="clear" w:color="auto" w:fill="FFFFFF"/>
          <w:lang w:val="en-US" w:eastAsia="zh-CN"/>
        </w:rPr>
        <w:t>2</w:t>
      </w:r>
    </w:p>
    <w:p>
      <w:pPr>
        <w:pStyle w:val="7"/>
        <w:widowControl/>
        <w:numPr>
          <w:ilvl w:val="0"/>
          <w:numId w:val="3"/>
        </w:numPr>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付款时限：2023年</w:t>
      </w:r>
      <w:r>
        <w:rPr>
          <w:rFonts w:hint="eastAsia" w:ascii="仿宋_GB2312" w:hAnsi="仿宋_GB2312" w:eastAsia="仿宋_GB2312" w:cs="仿宋_GB2312"/>
          <w:shd w:val="clear" w:color="auto" w:fill="FFFFFF"/>
          <w:lang w:val="en-US" w:eastAsia="zh-CN"/>
        </w:rPr>
        <w:t>5</w:t>
      </w:r>
      <w:r>
        <w:rPr>
          <w:rFonts w:hint="eastAsia" w:ascii="仿宋_GB2312" w:hAnsi="仿宋_GB2312" w:eastAsia="仿宋_GB2312" w:cs="仿宋_GB2312"/>
          <w:shd w:val="clear" w:color="auto" w:fill="FFFFFF"/>
        </w:rPr>
        <w:t>月</w:t>
      </w:r>
      <w:r>
        <w:rPr>
          <w:rFonts w:hint="eastAsia" w:ascii="仿宋_GB2312" w:hAnsi="仿宋_GB2312" w:eastAsia="仿宋_GB2312" w:cs="仿宋_GB2312"/>
          <w:shd w:val="clear" w:color="auto" w:fill="FFFFFF"/>
          <w:lang w:val="en-US" w:eastAsia="zh-CN"/>
        </w:rPr>
        <w:t>29</w:t>
      </w:r>
      <w:r>
        <w:rPr>
          <w:rFonts w:hint="eastAsia" w:ascii="仿宋_GB2312" w:hAnsi="仿宋_GB2312" w:eastAsia="仿宋_GB2312" w:cs="仿宋_GB2312"/>
          <w:shd w:val="clear" w:color="auto" w:fill="FFFFFF"/>
        </w:rPr>
        <w:t>日16时前（以到账时间为准）</w:t>
      </w:r>
    </w:p>
    <w:p>
      <w:pPr>
        <w:pStyle w:val="7"/>
        <w:widowControl/>
        <w:numPr>
          <w:ilvl w:val="0"/>
          <w:numId w:val="3"/>
        </w:numPr>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保证金缴款到账查询：汇款人自行咨询汇出银行。</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5、保证金清退：未成交者保证金（含银行同期活期利率产生的利息），由湖南省公共资源交易中心在竞租结束后5个工作日内按原保证金汇出账户原路退回；成交者保证金（含银行同期活期利率产生的利息），在其办理完相关手续后由本公司通知湖南省公共资源交易中心按原保证金汇出账户原路退回。</w:t>
      </w:r>
    </w:p>
    <w:p>
      <w:pPr>
        <w:pStyle w:val="7"/>
        <w:widowControl/>
        <w:numPr>
          <w:ilvl w:val="0"/>
          <w:numId w:val="4"/>
        </w:numPr>
        <w:shd w:val="clear" w:color="auto" w:fill="FFFFFF"/>
        <w:spacing w:before="0" w:beforeAutospacing="0" w:after="0" w:afterAutospacing="0" w:line="400" w:lineRule="exact"/>
        <w:rPr>
          <w:rFonts w:ascii="仿宋_GB2312" w:hAnsi="仿宋_GB2312" w:eastAsia="仿宋_GB2312" w:cs="仿宋_GB2312"/>
          <w:b/>
          <w:shd w:val="clear" w:color="auto" w:fill="FFFFFF"/>
        </w:rPr>
      </w:pPr>
      <w:r>
        <w:rPr>
          <w:rFonts w:hint="eastAsia" w:ascii="仿宋_GB2312" w:hAnsi="仿宋_GB2312" w:eastAsia="仿宋_GB2312" w:cs="仿宋_GB2312"/>
          <w:b/>
          <w:shd w:val="clear" w:color="auto" w:fill="FFFFFF"/>
        </w:rPr>
        <w:t>竞买条件与报名登记</w:t>
      </w:r>
    </w:p>
    <w:p>
      <w:pPr>
        <w:pStyle w:val="22"/>
        <w:spacing w:line="400" w:lineRule="exact"/>
        <w:ind w:firstLine="480"/>
        <w:rPr>
          <w:rFonts w:ascii="仿宋_GB2312" w:hAnsi="仿宋_GB2312" w:eastAsia="仿宋_GB2312" w:cs="仿宋_GB2312"/>
          <w:sz w:val="24"/>
        </w:rPr>
      </w:pPr>
      <w:r>
        <w:rPr>
          <w:rFonts w:hint="eastAsia" w:ascii="仿宋_GB2312" w:hAnsi="仿宋_GB2312" w:eastAsia="仿宋_GB2312" w:cs="仿宋_GB2312"/>
          <w:sz w:val="24"/>
        </w:rPr>
        <w:t>意向竞买人须在上述时限内携以下资料到报名地点经审核合格后方可办理竞买登记手续：</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1、保证金缴款凭证（以在报名时间内实际到账为准）；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法人报名的提交营业执照副本及加盖公章的营业执照复印件（原件核查）、法人代表身份证明及身份证复印件、法人代表授权委托书及被授权的代理人身份证复印件（原件核查）原件。个人报名的提交身份证复印件（原件核查）；</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3、未被“信用中国”网站列入失信被执行人和重大税收违法案件当事人名单的证明，否则不得参与竞买及承租。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4、与委托人以往的合作过程中有违约记录的竞买人，不得参与竞买及承租。</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w:t>
      </w:r>
      <w:bookmarkEnd w:id="1"/>
      <w:r>
        <w:rPr>
          <w:rFonts w:hint="eastAsia" w:ascii="仿宋_GB2312" w:hAnsi="仿宋_GB2312" w:eastAsia="仿宋_GB2312" w:cs="仿宋_GB2312"/>
          <w:sz w:val="24"/>
        </w:rPr>
        <w:t>租赁后的使用或经营方案（方案中应对不允许经营的业态作出承诺，以确定经营项目是否符合委托人认可的经营业态）。该方案需经审核通过后方可参加报名竞买。</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6、意向竞买人必须保证所提供的报名文件、资料和身份信息真实、合法、有效。</w:t>
      </w:r>
    </w:p>
    <w:p>
      <w:pPr>
        <w:spacing w:line="400" w:lineRule="exact"/>
        <w:rPr>
          <w:rFonts w:ascii="仿宋_GB2312" w:hAnsi="仿宋_GB2312" w:eastAsia="仿宋_GB2312" w:cs="仿宋_GB2312"/>
          <w:b/>
          <w:sz w:val="24"/>
          <w:shd w:val="clear" w:color="auto" w:fill="FFFFFF"/>
        </w:rPr>
      </w:pPr>
      <w:r>
        <w:rPr>
          <w:rFonts w:hint="eastAsia" w:ascii="仿宋_GB2312" w:hAnsi="仿宋_GB2312" w:eastAsia="仿宋_GB2312" w:cs="仿宋_GB2312"/>
          <w:b/>
          <w:sz w:val="24"/>
          <w:shd w:val="clear" w:color="auto" w:fill="FFFFFF"/>
        </w:rPr>
        <w:t>十、其他事项详见拍卖人的拍卖文件。</w:t>
      </w:r>
    </w:p>
    <w:p>
      <w:pPr>
        <w:spacing w:line="400" w:lineRule="exact"/>
        <w:rPr>
          <w:rFonts w:ascii="仿宋_GB2312" w:hAnsi="仿宋_GB2312" w:eastAsia="仿宋_GB2312" w:cs="仿宋_GB2312"/>
          <w:b/>
          <w:sz w:val="24"/>
          <w:shd w:val="clear" w:color="auto" w:fill="FFFFFF"/>
        </w:rPr>
      </w:pPr>
      <w:r>
        <w:rPr>
          <w:rFonts w:hint="eastAsia" w:ascii="仿宋_GB2312" w:hAnsi="仿宋_GB2312" w:eastAsia="仿宋_GB2312" w:cs="仿宋_GB2312"/>
          <w:b/>
          <w:sz w:val="24"/>
          <w:shd w:val="clear" w:color="auto" w:fill="FFFFFF"/>
        </w:rPr>
        <w:t>十一、拍卖咨询</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拍卖行联系人：黄女士        电话：18867427568、18974849362</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湖南省公共资源交易中心联系人：李先生  电话：0731-89665245</w:t>
      </w:r>
    </w:p>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p>
    <w:p>
      <w:pPr>
        <w:spacing w:line="40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                                   湖南三友拍卖有限公司</w:t>
      </w:r>
    </w:p>
    <w:p>
      <w:pPr>
        <w:wordWrap w:val="0"/>
        <w:spacing w:line="400" w:lineRule="exact"/>
        <w:ind w:firstLine="4560" w:firstLineChars="1900"/>
        <w:jc w:val="right"/>
        <w:rPr>
          <w:rFonts w:ascii="宋体" w:hAnsi="宋体" w:cs="宋体"/>
          <w:sz w:val="28"/>
          <w:szCs w:val="28"/>
        </w:rPr>
      </w:pPr>
      <w:r>
        <w:rPr>
          <w:rFonts w:hint="eastAsia" w:ascii="仿宋_GB2312" w:hAnsi="仿宋_GB2312" w:eastAsia="仿宋_GB2312" w:cs="仿宋_GB2312"/>
          <w:sz w:val="24"/>
        </w:rPr>
        <w:t>2023年</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23</w:t>
      </w:r>
      <w:bookmarkStart w:id="2" w:name="_GoBack"/>
      <w:bookmarkEnd w:id="2"/>
      <w:r>
        <w:rPr>
          <w:rFonts w:hint="eastAsia" w:ascii="仿宋_GB2312" w:hAnsi="仿宋_GB2312" w:eastAsia="仿宋_GB2312" w:cs="仿宋_GB2312"/>
          <w:sz w:val="24"/>
        </w:rPr>
        <w:t>日</w:t>
      </w:r>
    </w:p>
    <w:bookmarkEnd w:id="0"/>
    <w:p>
      <w:pPr>
        <w:snapToGrid w:val="0"/>
        <w:spacing w:line="360" w:lineRule="auto"/>
        <w:jc w:val="center"/>
        <w:rPr>
          <w:rFonts w:ascii="宋体" w:hAnsi="宋体" w:cs="宋体"/>
          <w:b/>
          <w:sz w:val="44"/>
          <w:szCs w:val="44"/>
        </w:rPr>
      </w:pPr>
    </w:p>
    <w:p>
      <w:pPr>
        <w:pStyle w:val="2"/>
      </w:pP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AEF47"/>
    <w:multiLevelType w:val="singleLevel"/>
    <w:tmpl w:val="A6BAEF47"/>
    <w:lvl w:ilvl="0" w:tentative="0">
      <w:start w:val="9"/>
      <w:numFmt w:val="chineseCounting"/>
      <w:suff w:val="nothing"/>
      <w:lvlText w:val="%1、"/>
      <w:lvlJc w:val="left"/>
      <w:rPr>
        <w:rFonts w:hint="eastAsia"/>
        <w:lang w:val="en-US"/>
      </w:rPr>
    </w:lvl>
  </w:abstractNum>
  <w:abstractNum w:abstractNumId="1">
    <w:nsid w:val="E53753FD"/>
    <w:multiLevelType w:val="singleLevel"/>
    <w:tmpl w:val="E53753FD"/>
    <w:lvl w:ilvl="0" w:tentative="0">
      <w:start w:val="1"/>
      <w:numFmt w:val="chineseCounting"/>
      <w:suff w:val="nothing"/>
      <w:lvlText w:val="%1、"/>
      <w:lvlJc w:val="left"/>
      <w:rPr>
        <w:rFonts w:hint="eastAsia"/>
      </w:rPr>
    </w:lvl>
  </w:abstractNum>
  <w:abstractNum w:abstractNumId="2">
    <w:nsid w:val="04C3DF01"/>
    <w:multiLevelType w:val="singleLevel"/>
    <w:tmpl w:val="04C3DF01"/>
    <w:lvl w:ilvl="0" w:tentative="0">
      <w:start w:val="2"/>
      <w:numFmt w:val="chineseCounting"/>
      <w:suff w:val="nothing"/>
      <w:lvlText w:val="%1、"/>
      <w:lvlJc w:val="left"/>
      <w:rPr>
        <w:rFonts w:hint="eastAsia"/>
        <w:b/>
      </w:rPr>
    </w:lvl>
  </w:abstractNum>
  <w:abstractNum w:abstractNumId="3">
    <w:nsid w:val="749C47DD"/>
    <w:multiLevelType w:val="multilevel"/>
    <w:tmpl w:val="749C47DD"/>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YwMmU3MjIzNmI1YWJmMWYzZmZkMWQ1MzcyZTBhYWQifQ=="/>
  </w:docVars>
  <w:rsids>
    <w:rsidRoot w:val="0029698B"/>
    <w:rsid w:val="00003D54"/>
    <w:rsid w:val="000406BF"/>
    <w:rsid w:val="00054AAB"/>
    <w:rsid w:val="0007240A"/>
    <w:rsid w:val="00082D14"/>
    <w:rsid w:val="00084514"/>
    <w:rsid w:val="000943D2"/>
    <w:rsid w:val="000A1427"/>
    <w:rsid w:val="000C1F93"/>
    <w:rsid w:val="000D3BB4"/>
    <w:rsid w:val="000D4F56"/>
    <w:rsid w:val="00140B54"/>
    <w:rsid w:val="00155BD0"/>
    <w:rsid w:val="0016701B"/>
    <w:rsid w:val="001B5AEF"/>
    <w:rsid w:val="002015FC"/>
    <w:rsid w:val="0028542D"/>
    <w:rsid w:val="0028684A"/>
    <w:rsid w:val="0029698B"/>
    <w:rsid w:val="003046D7"/>
    <w:rsid w:val="0030683A"/>
    <w:rsid w:val="003159AD"/>
    <w:rsid w:val="003173C5"/>
    <w:rsid w:val="003306EE"/>
    <w:rsid w:val="00367B15"/>
    <w:rsid w:val="00390192"/>
    <w:rsid w:val="003C1343"/>
    <w:rsid w:val="003E4EAB"/>
    <w:rsid w:val="00415E81"/>
    <w:rsid w:val="004226B2"/>
    <w:rsid w:val="004272AB"/>
    <w:rsid w:val="00435EFE"/>
    <w:rsid w:val="00443E1C"/>
    <w:rsid w:val="004970F7"/>
    <w:rsid w:val="004B01EE"/>
    <w:rsid w:val="004B594C"/>
    <w:rsid w:val="004D0000"/>
    <w:rsid w:val="004E265B"/>
    <w:rsid w:val="0052293E"/>
    <w:rsid w:val="00523F8F"/>
    <w:rsid w:val="00536251"/>
    <w:rsid w:val="00577DDA"/>
    <w:rsid w:val="005C488E"/>
    <w:rsid w:val="005D24D4"/>
    <w:rsid w:val="005D5C07"/>
    <w:rsid w:val="0060030B"/>
    <w:rsid w:val="00600713"/>
    <w:rsid w:val="00602834"/>
    <w:rsid w:val="00670FAD"/>
    <w:rsid w:val="00680104"/>
    <w:rsid w:val="006B28EA"/>
    <w:rsid w:val="006D474E"/>
    <w:rsid w:val="006F19C2"/>
    <w:rsid w:val="006F7F8D"/>
    <w:rsid w:val="007257F4"/>
    <w:rsid w:val="007449E9"/>
    <w:rsid w:val="00752AA4"/>
    <w:rsid w:val="00757D17"/>
    <w:rsid w:val="007A0267"/>
    <w:rsid w:val="007C3F4E"/>
    <w:rsid w:val="007E2C49"/>
    <w:rsid w:val="007F0443"/>
    <w:rsid w:val="007F2609"/>
    <w:rsid w:val="0080466E"/>
    <w:rsid w:val="00836801"/>
    <w:rsid w:val="00841CD9"/>
    <w:rsid w:val="008D1149"/>
    <w:rsid w:val="008D1C55"/>
    <w:rsid w:val="00920D18"/>
    <w:rsid w:val="0092561B"/>
    <w:rsid w:val="00936605"/>
    <w:rsid w:val="00940B3F"/>
    <w:rsid w:val="0094769F"/>
    <w:rsid w:val="0095511B"/>
    <w:rsid w:val="00971C56"/>
    <w:rsid w:val="0099412E"/>
    <w:rsid w:val="009C6DFD"/>
    <w:rsid w:val="00A014F1"/>
    <w:rsid w:val="00A042E6"/>
    <w:rsid w:val="00A2567E"/>
    <w:rsid w:val="00A34E56"/>
    <w:rsid w:val="00AA6E19"/>
    <w:rsid w:val="00AE2EC5"/>
    <w:rsid w:val="00AF545E"/>
    <w:rsid w:val="00B41210"/>
    <w:rsid w:val="00B80C2C"/>
    <w:rsid w:val="00BA0B41"/>
    <w:rsid w:val="00BB4AF0"/>
    <w:rsid w:val="00C15502"/>
    <w:rsid w:val="00C20E1F"/>
    <w:rsid w:val="00C528A1"/>
    <w:rsid w:val="00C52EB8"/>
    <w:rsid w:val="00C630FD"/>
    <w:rsid w:val="00C71731"/>
    <w:rsid w:val="00C97808"/>
    <w:rsid w:val="00CD064F"/>
    <w:rsid w:val="00CD4069"/>
    <w:rsid w:val="00CE4017"/>
    <w:rsid w:val="00CF2CAB"/>
    <w:rsid w:val="00D339A2"/>
    <w:rsid w:val="00D51B20"/>
    <w:rsid w:val="00D94AD0"/>
    <w:rsid w:val="00DD0A52"/>
    <w:rsid w:val="00DD6A3F"/>
    <w:rsid w:val="00DF3AD0"/>
    <w:rsid w:val="00E36C5B"/>
    <w:rsid w:val="00E84B65"/>
    <w:rsid w:val="00EA0854"/>
    <w:rsid w:val="00EB3B05"/>
    <w:rsid w:val="00EB54F8"/>
    <w:rsid w:val="00EC332B"/>
    <w:rsid w:val="00F37619"/>
    <w:rsid w:val="00F45FF8"/>
    <w:rsid w:val="00F46068"/>
    <w:rsid w:val="00F57260"/>
    <w:rsid w:val="00F73187"/>
    <w:rsid w:val="00F737CD"/>
    <w:rsid w:val="00F90576"/>
    <w:rsid w:val="00FA58F6"/>
    <w:rsid w:val="00FB701B"/>
    <w:rsid w:val="00FB7F2A"/>
    <w:rsid w:val="00FE3B43"/>
    <w:rsid w:val="00FE56D3"/>
    <w:rsid w:val="011837C3"/>
    <w:rsid w:val="023E3F3B"/>
    <w:rsid w:val="02EA6D26"/>
    <w:rsid w:val="03F848F4"/>
    <w:rsid w:val="05735C7C"/>
    <w:rsid w:val="06FF64A2"/>
    <w:rsid w:val="07035E91"/>
    <w:rsid w:val="071B26DC"/>
    <w:rsid w:val="079911D0"/>
    <w:rsid w:val="07C05BA3"/>
    <w:rsid w:val="08063DC3"/>
    <w:rsid w:val="082B710E"/>
    <w:rsid w:val="095F7F4C"/>
    <w:rsid w:val="0992531D"/>
    <w:rsid w:val="0A16053B"/>
    <w:rsid w:val="0A1E379D"/>
    <w:rsid w:val="0B6F11DD"/>
    <w:rsid w:val="0B965929"/>
    <w:rsid w:val="0C323F44"/>
    <w:rsid w:val="0EDE23BC"/>
    <w:rsid w:val="0F165BC2"/>
    <w:rsid w:val="0F2B63F2"/>
    <w:rsid w:val="0F8A18B5"/>
    <w:rsid w:val="10A818CA"/>
    <w:rsid w:val="10CB566E"/>
    <w:rsid w:val="1109684F"/>
    <w:rsid w:val="11DF6F54"/>
    <w:rsid w:val="11F137F5"/>
    <w:rsid w:val="121A6280"/>
    <w:rsid w:val="12767ED2"/>
    <w:rsid w:val="135E44C2"/>
    <w:rsid w:val="143A404E"/>
    <w:rsid w:val="14D902A4"/>
    <w:rsid w:val="14F7484D"/>
    <w:rsid w:val="150C68CB"/>
    <w:rsid w:val="15E440D8"/>
    <w:rsid w:val="161F06D8"/>
    <w:rsid w:val="164460D2"/>
    <w:rsid w:val="1673797D"/>
    <w:rsid w:val="178D35C8"/>
    <w:rsid w:val="18286382"/>
    <w:rsid w:val="18ED4BDA"/>
    <w:rsid w:val="19F5068F"/>
    <w:rsid w:val="1A29080C"/>
    <w:rsid w:val="1AFE4B36"/>
    <w:rsid w:val="1BB753E3"/>
    <w:rsid w:val="1DA57868"/>
    <w:rsid w:val="1FBE0986"/>
    <w:rsid w:val="1FDC6606"/>
    <w:rsid w:val="200C5750"/>
    <w:rsid w:val="204809D3"/>
    <w:rsid w:val="21A96455"/>
    <w:rsid w:val="21AB33D9"/>
    <w:rsid w:val="232177EC"/>
    <w:rsid w:val="23654129"/>
    <w:rsid w:val="245A4645"/>
    <w:rsid w:val="245C1C6B"/>
    <w:rsid w:val="246A4483"/>
    <w:rsid w:val="2577651A"/>
    <w:rsid w:val="258F3863"/>
    <w:rsid w:val="25F52A64"/>
    <w:rsid w:val="26AB1368"/>
    <w:rsid w:val="273E3D56"/>
    <w:rsid w:val="278D269A"/>
    <w:rsid w:val="2964687E"/>
    <w:rsid w:val="29D75F79"/>
    <w:rsid w:val="2B0F13ED"/>
    <w:rsid w:val="2BDB26FC"/>
    <w:rsid w:val="2C320DC9"/>
    <w:rsid w:val="2C99771A"/>
    <w:rsid w:val="2CAC2617"/>
    <w:rsid w:val="2D303FEB"/>
    <w:rsid w:val="2D894A70"/>
    <w:rsid w:val="2D8B759C"/>
    <w:rsid w:val="2E6A690A"/>
    <w:rsid w:val="2E7825C5"/>
    <w:rsid w:val="2FC57BC8"/>
    <w:rsid w:val="2FCF43FA"/>
    <w:rsid w:val="30460336"/>
    <w:rsid w:val="3081599D"/>
    <w:rsid w:val="30E3499A"/>
    <w:rsid w:val="30F2121D"/>
    <w:rsid w:val="32C4213C"/>
    <w:rsid w:val="332309AE"/>
    <w:rsid w:val="349E076A"/>
    <w:rsid w:val="351078BA"/>
    <w:rsid w:val="3597452F"/>
    <w:rsid w:val="35C13564"/>
    <w:rsid w:val="35F34EC5"/>
    <w:rsid w:val="367D4E95"/>
    <w:rsid w:val="37276EFF"/>
    <w:rsid w:val="38490B25"/>
    <w:rsid w:val="38E14E37"/>
    <w:rsid w:val="3A2A10A9"/>
    <w:rsid w:val="3CA259F8"/>
    <w:rsid w:val="3F7A134B"/>
    <w:rsid w:val="403016D6"/>
    <w:rsid w:val="40E238E9"/>
    <w:rsid w:val="40F46AAA"/>
    <w:rsid w:val="417E03F0"/>
    <w:rsid w:val="42311A26"/>
    <w:rsid w:val="428A5C5C"/>
    <w:rsid w:val="42931961"/>
    <w:rsid w:val="42BF6F05"/>
    <w:rsid w:val="43AF1401"/>
    <w:rsid w:val="447F42CD"/>
    <w:rsid w:val="44EC3585"/>
    <w:rsid w:val="456F02CD"/>
    <w:rsid w:val="47261EB2"/>
    <w:rsid w:val="47A6349D"/>
    <w:rsid w:val="486F35C7"/>
    <w:rsid w:val="48ED3DDC"/>
    <w:rsid w:val="4A3B368D"/>
    <w:rsid w:val="4B8A152F"/>
    <w:rsid w:val="4C904157"/>
    <w:rsid w:val="4CBB7CB4"/>
    <w:rsid w:val="4DEE7775"/>
    <w:rsid w:val="4E5B34FC"/>
    <w:rsid w:val="4EC6755E"/>
    <w:rsid w:val="4F1D255F"/>
    <w:rsid w:val="4FDD683F"/>
    <w:rsid w:val="50906C02"/>
    <w:rsid w:val="512F5E1F"/>
    <w:rsid w:val="5130484B"/>
    <w:rsid w:val="51813831"/>
    <w:rsid w:val="52A65B43"/>
    <w:rsid w:val="52D1794E"/>
    <w:rsid w:val="53464634"/>
    <w:rsid w:val="53E334EF"/>
    <w:rsid w:val="543071D9"/>
    <w:rsid w:val="56350B6B"/>
    <w:rsid w:val="57716E57"/>
    <w:rsid w:val="57835268"/>
    <w:rsid w:val="57BA277F"/>
    <w:rsid w:val="593838EC"/>
    <w:rsid w:val="59633BAD"/>
    <w:rsid w:val="59651D36"/>
    <w:rsid w:val="5B032D10"/>
    <w:rsid w:val="5B8E1905"/>
    <w:rsid w:val="5DD134DC"/>
    <w:rsid w:val="5F7D34D9"/>
    <w:rsid w:val="604C19B7"/>
    <w:rsid w:val="62533547"/>
    <w:rsid w:val="63CA40AE"/>
    <w:rsid w:val="65F16E9E"/>
    <w:rsid w:val="68337BD0"/>
    <w:rsid w:val="68507B02"/>
    <w:rsid w:val="68E41B47"/>
    <w:rsid w:val="695F5465"/>
    <w:rsid w:val="69C05EF3"/>
    <w:rsid w:val="69E34A5B"/>
    <w:rsid w:val="69EA0CEF"/>
    <w:rsid w:val="6A0F67A2"/>
    <w:rsid w:val="6AD66324"/>
    <w:rsid w:val="6C27117C"/>
    <w:rsid w:val="6CD049CF"/>
    <w:rsid w:val="6DF66DF1"/>
    <w:rsid w:val="6E873A42"/>
    <w:rsid w:val="6F212D2D"/>
    <w:rsid w:val="6F67541A"/>
    <w:rsid w:val="6FB67594"/>
    <w:rsid w:val="6FEA1DB0"/>
    <w:rsid w:val="716704A1"/>
    <w:rsid w:val="71EB44BF"/>
    <w:rsid w:val="730F0DB7"/>
    <w:rsid w:val="73F93AC0"/>
    <w:rsid w:val="73FE68AD"/>
    <w:rsid w:val="74544778"/>
    <w:rsid w:val="74643875"/>
    <w:rsid w:val="752B068C"/>
    <w:rsid w:val="75990387"/>
    <w:rsid w:val="763F5A2A"/>
    <w:rsid w:val="777E71C4"/>
    <w:rsid w:val="78F967C7"/>
    <w:rsid w:val="79377117"/>
    <w:rsid w:val="79DB2963"/>
    <w:rsid w:val="7A457C11"/>
    <w:rsid w:val="7A5E157D"/>
    <w:rsid w:val="7A6566C2"/>
    <w:rsid w:val="7ABD2CC5"/>
    <w:rsid w:val="7D050953"/>
    <w:rsid w:val="7D243B20"/>
    <w:rsid w:val="7DBA431D"/>
    <w:rsid w:val="7DD41A0F"/>
    <w:rsid w:val="7DD86068"/>
    <w:rsid w:val="7E180764"/>
    <w:rsid w:val="7F2D4191"/>
    <w:rsid w:val="7F7E4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rPr>
  </w:style>
  <w:style w:type="paragraph" w:styleId="3">
    <w:name w:val="Body Text Indent"/>
    <w:basedOn w:val="1"/>
    <w:link w:val="20"/>
    <w:qFormat/>
    <w:uiPriority w:val="0"/>
    <w:pPr>
      <w:spacing w:line="500" w:lineRule="exact"/>
      <w:ind w:firstLine="560" w:firstLineChars="200"/>
    </w:pPr>
    <w:rPr>
      <w:bCs/>
      <w:kern w:val="0"/>
      <w:sz w:val="28"/>
      <w:szCs w:val="20"/>
    </w:rPr>
  </w:style>
  <w:style w:type="paragraph" w:styleId="4">
    <w:name w:val="Balloon Text"/>
    <w:basedOn w:val="1"/>
    <w:link w:val="2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3"/>
    <w:link w:val="21"/>
    <w:qFormat/>
    <w:uiPriority w:val="0"/>
    <w:pPr>
      <w:spacing w:after="120" w:line="240" w:lineRule="auto"/>
      <w:ind w:left="420" w:leftChars="200" w:firstLine="420"/>
    </w:pPr>
    <w:rPr>
      <w:bCs w:val="0"/>
      <w:kern w:val="2"/>
      <w:sz w:val="21"/>
      <w:szCs w:val="24"/>
    </w:rPr>
  </w:style>
  <w:style w:type="table" w:styleId="10">
    <w:name w:val="Table Grid"/>
    <w:basedOn w:val="9"/>
    <w:qFormat/>
    <w:uiPriority w:val="0"/>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列出段落1"/>
    <w:basedOn w:val="1"/>
    <w:qFormat/>
    <w:uiPriority w:val="0"/>
    <w:pPr>
      <w:ind w:firstLine="420" w:firstLineChars="200"/>
    </w:pPr>
  </w:style>
  <w:style w:type="character" w:customStyle="1" w:styleId="15">
    <w:name w:val="NormalCharacter"/>
    <w:semiHidden/>
    <w:qFormat/>
    <w:uiPriority w:val="0"/>
  </w:style>
  <w:style w:type="character" w:customStyle="1" w:styleId="16">
    <w:name w:val="font31"/>
    <w:basedOn w:val="11"/>
    <w:qFormat/>
    <w:uiPriority w:val="0"/>
    <w:rPr>
      <w:rFonts w:hint="eastAsia" w:ascii="宋体" w:hAnsi="宋体" w:eastAsia="宋体" w:cs="宋体"/>
      <w:color w:val="000000"/>
      <w:sz w:val="24"/>
      <w:szCs w:val="24"/>
      <w:u w:val="none"/>
    </w:rPr>
  </w:style>
  <w:style w:type="character" w:customStyle="1" w:styleId="17">
    <w:name w:val="font21"/>
    <w:basedOn w:val="11"/>
    <w:qFormat/>
    <w:uiPriority w:val="0"/>
    <w:rPr>
      <w:rFonts w:hint="eastAsia" w:ascii="宋体" w:hAnsi="宋体" w:eastAsia="宋体" w:cs="宋体"/>
      <w:b/>
      <w:color w:val="000000"/>
      <w:sz w:val="24"/>
      <w:szCs w:val="24"/>
      <w:u w:val="none"/>
    </w:rPr>
  </w:style>
  <w:style w:type="paragraph" w:customStyle="1" w:styleId="18">
    <w:name w:val="HtmlNormal"/>
    <w:basedOn w:val="1"/>
    <w:qFormat/>
    <w:uiPriority w:val="0"/>
    <w:pPr>
      <w:spacing w:before="100" w:beforeAutospacing="1" w:after="100" w:afterAutospacing="1"/>
      <w:jc w:val="left"/>
    </w:pPr>
    <w:rPr>
      <w:kern w:val="0"/>
      <w:sz w:val="24"/>
    </w:rPr>
  </w:style>
  <w:style w:type="paragraph" w:customStyle="1" w:styleId="19">
    <w:name w:val="列出段落11"/>
    <w:basedOn w:val="1"/>
    <w:qFormat/>
    <w:uiPriority w:val="0"/>
    <w:pPr>
      <w:ind w:firstLine="420" w:firstLineChars="200"/>
    </w:pPr>
  </w:style>
  <w:style w:type="character" w:customStyle="1" w:styleId="20">
    <w:name w:val="正文文本缩进 Char"/>
    <w:basedOn w:val="11"/>
    <w:link w:val="3"/>
    <w:qFormat/>
    <w:uiPriority w:val="0"/>
    <w:rPr>
      <w:rFonts w:ascii="Calibri" w:hAnsi="Calibri" w:eastAsia="宋体" w:cs="Times New Roman"/>
      <w:bCs/>
      <w:sz w:val="28"/>
    </w:rPr>
  </w:style>
  <w:style w:type="character" w:customStyle="1" w:styleId="21">
    <w:name w:val="正文首行缩进 2 Char"/>
    <w:basedOn w:val="20"/>
    <w:link w:val="8"/>
    <w:qFormat/>
    <w:uiPriority w:val="0"/>
    <w:rPr>
      <w:rFonts w:ascii="Calibri" w:hAnsi="Calibri" w:eastAsia="宋体" w:cs="Times New Roman"/>
      <w:bCs w:val="0"/>
      <w:kern w:val="2"/>
      <w:sz w:val="21"/>
      <w:szCs w:val="24"/>
    </w:rPr>
  </w:style>
  <w:style w:type="paragraph" w:styleId="22">
    <w:name w:val="List Paragraph"/>
    <w:basedOn w:val="1"/>
    <w:unhideWhenUsed/>
    <w:qFormat/>
    <w:uiPriority w:val="34"/>
    <w:pPr>
      <w:ind w:firstLine="420" w:firstLineChars="200"/>
    </w:pPr>
  </w:style>
  <w:style w:type="paragraph" w:customStyle="1" w:styleId="23">
    <w:name w:val="p0"/>
    <w:basedOn w:val="1"/>
    <w:qFormat/>
    <w:uiPriority w:val="99"/>
    <w:pPr>
      <w:widowControl/>
    </w:pPr>
    <w:rPr>
      <w:rFonts w:cs="宋体"/>
      <w:kern w:val="0"/>
      <w:szCs w:val="21"/>
    </w:rPr>
  </w:style>
  <w:style w:type="character" w:customStyle="1" w:styleId="24">
    <w:name w:val="批注框文本 Char"/>
    <w:basedOn w:val="11"/>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1057</Words>
  <Characters>1240</Characters>
  <Lines>2</Lines>
  <Paragraphs>2</Paragraphs>
  <TotalTime>6</TotalTime>
  <ScaleCrop>false</ScaleCrop>
  <LinksUpToDate>false</LinksUpToDate>
  <CharactersWithSpaces>1307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2021-08-04T03:08:00Z</dcterms:created>
  <dc:creator>Administrator</dc:creator>
  <cp:lastModifiedBy>蓝色心情Q</cp:lastModifiedBy>
  <cp:lastPrinted>2021-12-08T03:56:00Z</cp:lastPrinted>
  <dcterms:modified xsi:type="dcterms:W3CDTF">2023-05-22T01:07:27Z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2E9EC4715C06476CA41D6E78DBCC6A14</vt:lpwstr>
  </property>
  <property fmtid="{D5CDD505-2E9C-101B-9397-08002B2CF9AE}" pid="4" name="commondata">
    <vt:lpwstr>eyJoZGlkIjoiNDFiMDVjMDY3N2IxODJkOTUxODc3ZjJmMTA0MDZjNjkifQ==</vt:lpwstr>
  </property>
</Properties>
</file>